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Ind w:w="-522" w:type="dxa"/>
        <w:tblLayout w:type="fixed"/>
        <w:tblLook w:val="04A0" w:firstRow="1" w:lastRow="0" w:firstColumn="1" w:lastColumn="0" w:noHBand="0" w:noVBand="1"/>
      </w:tblPr>
      <w:tblGrid>
        <w:gridCol w:w="860"/>
        <w:gridCol w:w="1120"/>
        <w:gridCol w:w="3060"/>
        <w:gridCol w:w="3420"/>
        <w:gridCol w:w="2340"/>
      </w:tblGrid>
      <w:tr w:rsidR="005F30BD" w14:paraId="1988909C" w14:textId="77777777" w:rsidTr="00B86918">
        <w:trPr>
          <w:tblHeader/>
        </w:trPr>
        <w:tc>
          <w:tcPr>
            <w:tcW w:w="860" w:type="dxa"/>
            <w:shd w:val="clear" w:color="auto" w:fill="C6D9F1" w:themeFill="text2" w:themeFillTint="33"/>
            <w:vAlign w:val="bottom"/>
          </w:tcPr>
          <w:p w14:paraId="520C7A7A" w14:textId="77777777" w:rsidR="00AF010C" w:rsidRDefault="00E96CE0" w:rsidP="00E96CE0">
            <w:pPr>
              <w:pStyle w:val="BodyTextFirstIndent2"/>
              <w:spacing w:line="240" w:lineRule="auto"/>
              <w:ind w:firstLine="0"/>
              <w:jc w:val="center"/>
            </w:pPr>
            <w:bookmarkStart w:id="0" w:name="_GoBack"/>
            <w:bookmarkEnd w:id="0"/>
            <w:r>
              <w:t>Class</w:t>
            </w:r>
          </w:p>
        </w:tc>
        <w:tc>
          <w:tcPr>
            <w:tcW w:w="1120" w:type="dxa"/>
            <w:shd w:val="clear" w:color="auto" w:fill="C6D9F1" w:themeFill="text2" w:themeFillTint="33"/>
            <w:vAlign w:val="bottom"/>
          </w:tcPr>
          <w:p w14:paraId="43C383D2" w14:textId="77777777" w:rsidR="005F30BD" w:rsidRDefault="005F30BD" w:rsidP="00E96CE0">
            <w:pPr>
              <w:pStyle w:val="BodyTextFirstIndent2"/>
              <w:spacing w:line="240" w:lineRule="auto"/>
              <w:ind w:firstLine="0"/>
              <w:jc w:val="center"/>
            </w:pPr>
            <w:r>
              <w:t>Date</w:t>
            </w:r>
          </w:p>
        </w:tc>
        <w:tc>
          <w:tcPr>
            <w:tcW w:w="3060" w:type="dxa"/>
            <w:shd w:val="clear" w:color="auto" w:fill="C6D9F1" w:themeFill="text2" w:themeFillTint="33"/>
            <w:vAlign w:val="bottom"/>
          </w:tcPr>
          <w:p w14:paraId="3EA4DF8A" w14:textId="77777777" w:rsidR="005F30BD" w:rsidRDefault="005F30BD" w:rsidP="00E96CE0">
            <w:pPr>
              <w:pStyle w:val="BodyTextFirstIndent2"/>
              <w:spacing w:line="240" w:lineRule="auto"/>
              <w:ind w:firstLine="0"/>
              <w:jc w:val="center"/>
            </w:pPr>
            <w:r>
              <w:t>Topic</w:t>
            </w:r>
          </w:p>
        </w:tc>
        <w:tc>
          <w:tcPr>
            <w:tcW w:w="3420" w:type="dxa"/>
            <w:shd w:val="clear" w:color="auto" w:fill="C6D9F1" w:themeFill="text2" w:themeFillTint="33"/>
            <w:vAlign w:val="bottom"/>
          </w:tcPr>
          <w:p w14:paraId="56207936" w14:textId="77777777" w:rsidR="00E96CE0" w:rsidRDefault="005F30BD" w:rsidP="00E96CE0">
            <w:pPr>
              <w:pStyle w:val="BodyTextFirstIndent2"/>
              <w:spacing w:line="240" w:lineRule="auto"/>
              <w:ind w:firstLine="0"/>
              <w:jc w:val="center"/>
            </w:pPr>
            <w:r>
              <w:t>Assigned Reading</w:t>
            </w:r>
            <w:r w:rsidR="00A06B0E">
              <w:t xml:space="preserve"> </w:t>
            </w:r>
          </w:p>
          <w:p w14:paraId="36D702C8" w14:textId="77777777" w:rsidR="005F30BD" w:rsidRDefault="00A06B0E" w:rsidP="00277C3A">
            <w:pPr>
              <w:pStyle w:val="BodyTextFirstIndent2"/>
              <w:spacing w:line="240" w:lineRule="auto"/>
              <w:ind w:firstLine="0"/>
              <w:jc w:val="center"/>
            </w:pPr>
            <w:r>
              <w:t>(</w:t>
            </w:r>
            <w:r w:rsidR="00277C3A">
              <w:t>Hazen</w:t>
            </w:r>
            <w:r>
              <w:t>)</w:t>
            </w:r>
          </w:p>
        </w:tc>
        <w:tc>
          <w:tcPr>
            <w:tcW w:w="2340" w:type="dxa"/>
            <w:shd w:val="clear" w:color="auto" w:fill="C6D9F1" w:themeFill="text2" w:themeFillTint="33"/>
          </w:tcPr>
          <w:p w14:paraId="7192774A" w14:textId="77777777" w:rsidR="005F30BD" w:rsidRDefault="005F30BD" w:rsidP="00E96CE0">
            <w:pPr>
              <w:pStyle w:val="BodyTextFirstIndent2"/>
              <w:spacing w:line="240" w:lineRule="auto"/>
              <w:ind w:firstLine="0"/>
              <w:jc w:val="center"/>
            </w:pPr>
            <w:r>
              <w:t xml:space="preserve">Guest Speaker </w:t>
            </w:r>
            <w:r w:rsidR="008B17B0">
              <w:t>/Film</w:t>
            </w:r>
          </w:p>
          <w:p w14:paraId="1AF73A69" w14:textId="77777777" w:rsidR="00530DA2" w:rsidRDefault="00530DA2" w:rsidP="00E96CE0">
            <w:pPr>
              <w:pStyle w:val="BodyTextFirstIndent2"/>
              <w:spacing w:line="240" w:lineRule="auto"/>
              <w:ind w:firstLine="0"/>
              <w:jc w:val="center"/>
            </w:pPr>
            <w:r>
              <w:t>(to view in class)</w:t>
            </w:r>
          </w:p>
        </w:tc>
      </w:tr>
      <w:tr w:rsidR="005F30BD" w14:paraId="357479E4" w14:textId="77777777" w:rsidTr="00B86918">
        <w:tc>
          <w:tcPr>
            <w:tcW w:w="860" w:type="dxa"/>
          </w:tcPr>
          <w:p w14:paraId="27206892" w14:textId="77777777" w:rsidR="005F30BD" w:rsidRDefault="005F30BD" w:rsidP="001F18D7">
            <w:pPr>
              <w:pStyle w:val="BodyTextFirstIndent2"/>
              <w:spacing w:after="120" w:line="240" w:lineRule="auto"/>
              <w:ind w:firstLine="0"/>
              <w:jc w:val="left"/>
            </w:pPr>
            <w:r>
              <w:t>1</w:t>
            </w:r>
          </w:p>
        </w:tc>
        <w:tc>
          <w:tcPr>
            <w:tcW w:w="1120" w:type="dxa"/>
          </w:tcPr>
          <w:p w14:paraId="21586FD9" w14:textId="3F478180" w:rsidR="005F30BD" w:rsidRDefault="0029023F" w:rsidP="001F18D7">
            <w:pPr>
              <w:pStyle w:val="BodyTextFirstIndent2"/>
              <w:spacing w:after="120" w:line="240" w:lineRule="auto"/>
              <w:ind w:firstLine="0"/>
              <w:jc w:val="left"/>
            </w:pPr>
            <w:r>
              <w:t>8/29</w:t>
            </w:r>
          </w:p>
        </w:tc>
        <w:tc>
          <w:tcPr>
            <w:tcW w:w="3060" w:type="dxa"/>
          </w:tcPr>
          <w:p w14:paraId="58C7A442" w14:textId="77777777" w:rsidR="00841D0D" w:rsidRDefault="00841D0D" w:rsidP="001F18D7">
            <w:pPr>
              <w:pStyle w:val="BodyTextFirstIndent2"/>
              <w:spacing w:after="120" w:line="240" w:lineRule="auto"/>
              <w:ind w:firstLine="0"/>
              <w:jc w:val="left"/>
            </w:pPr>
            <w:r>
              <w:t>Introduction</w:t>
            </w:r>
          </w:p>
          <w:p w14:paraId="7DF55C4D" w14:textId="77777777" w:rsidR="00E96CE0" w:rsidRDefault="00E96CE0" w:rsidP="001F18D7">
            <w:pPr>
              <w:pStyle w:val="BodyTextFirstIndent2"/>
              <w:spacing w:after="120" w:line="240" w:lineRule="auto"/>
              <w:ind w:firstLine="0"/>
              <w:jc w:val="left"/>
            </w:pPr>
            <w:r>
              <w:t xml:space="preserve">Regulatory </w:t>
            </w:r>
            <w:r w:rsidR="005F30BD">
              <w:t xml:space="preserve">Framework </w:t>
            </w:r>
          </w:p>
          <w:p w14:paraId="48E2FE7E" w14:textId="77777777" w:rsidR="005F30BD" w:rsidRDefault="00E96CE0" w:rsidP="001F18D7">
            <w:pPr>
              <w:pStyle w:val="BodyTextFirstIndent2"/>
              <w:spacing w:after="120" w:line="240" w:lineRule="auto"/>
              <w:ind w:firstLine="0"/>
              <w:jc w:val="left"/>
            </w:pPr>
            <w:r>
              <w:t xml:space="preserve">2008 Crash </w:t>
            </w:r>
            <w:r w:rsidR="005F30BD">
              <w:t xml:space="preserve"> </w:t>
            </w:r>
          </w:p>
          <w:p w14:paraId="4749FFD0" w14:textId="2C9E10E9" w:rsidR="001F5661" w:rsidRDefault="002A53FA" w:rsidP="001F18D7">
            <w:pPr>
              <w:pStyle w:val="BodyTextFirstIndent2"/>
              <w:spacing w:after="120" w:line="240" w:lineRule="auto"/>
              <w:ind w:firstLine="0"/>
              <w:jc w:val="left"/>
            </w:pPr>
            <w:r>
              <w:t>Role of Regulation</w:t>
            </w:r>
          </w:p>
        </w:tc>
        <w:tc>
          <w:tcPr>
            <w:tcW w:w="3420" w:type="dxa"/>
          </w:tcPr>
          <w:p w14:paraId="7CE7B8CF" w14:textId="76B4220C" w:rsidR="005F30BD" w:rsidRDefault="00277C3A" w:rsidP="001F18D7">
            <w:pPr>
              <w:pStyle w:val="BodyTextFirstIndent2"/>
              <w:spacing w:after="120" w:line="240" w:lineRule="auto"/>
              <w:ind w:firstLine="0"/>
              <w:jc w:val="left"/>
            </w:pPr>
            <w:r>
              <w:t>1-2</w:t>
            </w:r>
            <w:r w:rsidR="00C2180A">
              <w:t>6</w:t>
            </w:r>
          </w:p>
          <w:p w14:paraId="778B2DAD" w14:textId="316447D9" w:rsidR="001F5661" w:rsidRDefault="001F5661" w:rsidP="001F18D7">
            <w:pPr>
              <w:pStyle w:val="BodyTextFirstIndent2"/>
              <w:spacing w:after="120" w:line="240" w:lineRule="auto"/>
              <w:ind w:firstLine="0"/>
              <w:jc w:val="left"/>
            </w:pPr>
          </w:p>
          <w:p w14:paraId="29F518FC" w14:textId="38CA0A5D" w:rsidR="006661D5" w:rsidRDefault="006661D5" w:rsidP="001F18D7">
            <w:pPr>
              <w:pStyle w:val="BodyTextFirstIndent2"/>
              <w:spacing w:after="120" w:line="240" w:lineRule="auto"/>
              <w:ind w:firstLine="0"/>
              <w:jc w:val="left"/>
            </w:pPr>
          </w:p>
          <w:p w14:paraId="60A9CCC4" w14:textId="77777777" w:rsidR="00E96CE0" w:rsidRDefault="00E96CE0" w:rsidP="00180AFF">
            <w:pPr>
              <w:pStyle w:val="BodyTextFirstIndent2"/>
              <w:spacing w:after="120" w:line="240" w:lineRule="auto"/>
              <w:ind w:firstLine="0"/>
              <w:jc w:val="left"/>
            </w:pPr>
          </w:p>
        </w:tc>
        <w:tc>
          <w:tcPr>
            <w:tcW w:w="2340" w:type="dxa"/>
          </w:tcPr>
          <w:p w14:paraId="6D2166DF" w14:textId="77777777" w:rsidR="00E96CE0" w:rsidRDefault="00E96CE0" w:rsidP="002D396F">
            <w:pPr>
              <w:pStyle w:val="BodyTextFirstIndent2"/>
              <w:spacing w:after="120" w:line="240" w:lineRule="auto"/>
              <w:ind w:firstLine="0"/>
              <w:jc w:val="left"/>
            </w:pPr>
            <w:r>
              <w:t>Film</w:t>
            </w:r>
            <w:r w:rsidR="002D396F">
              <w:t xml:space="preserve">: </w:t>
            </w:r>
            <w:r>
              <w:t>Inside Job</w:t>
            </w:r>
          </w:p>
        </w:tc>
      </w:tr>
      <w:tr w:rsidR="005F30BD" w14:paraId="27FD5002" w14:textId="77777777" w:rsidTr="00B86918">
        <w:tc>
          <w:tcPr>
            <w:tcW w:w="860" w:type="dxa"/>
            <w:shd w:val="clear" w:color="auto" w:fill="B8CCE4" w:themeFill="accent1" w:themeFillTint="66"/>
          </w:tcPr>
          <w:p w14:paraId="5074E37D" w14:textId="77777777" w:rsidR="005F30BD" w:rsidRDefault="005F30BD" w:rsidP="001F18D7">
            <w:pPr>
              <w:pStyle w:val="BodyTextFirstIndent2"/>
              <w:spacing w:after="120" w:line="240" w:lineRule="auto"/>
              <w:ind w:firstLine="0"/>
              <w:jc w:val="left"/>
            </w:pPr>
          </w:p>
        </w:tc>
        <w:tc>
          <w:tcPr>
            <w:tcW w:w="1120" w:type="dxa"/>
            <w:shd w:val="clear" w:color="auto" w:fill="B8CCE4" w:themeFill="accent1" w:themeFillTint="66"/>
          </w:tcPr>
          <w:p w14:paraId="2F480D13" w14:textId="77777777" w:rsidR="005F30BD" w:rsidRDefault="005F30BD" w:rsidP="001F18D7">
            <w:pPr>
              <w:pStyle w:val="BodyTextFirstIndent2"/>
              <w:spacing w:after="120" w:line="240" w:lineRule="auto"/>
              <w:ind w:firstLine="0"/>
              <w:jc w:val="left"/>
            </w:pPr>
          </w:p>
        </w:tc>
        <w:tc>
          <w:tcPr>
            <w:tcW w:w="3060" w:type="dxa"/>
            <w:shd w:val="clear" w:color="auto" w:fill="B8CCE4" w:themeFill="accent1" w:themeFillTint="66"/>
          </w:tcPr>
          <w:p w14:paraId="7A2A637F" w14:textId="77777777" w:rsidR="005F30BD" w:rsidRDefault="005F30BD" w:rsidP="001F18D7">
            <w:pPr>
              <w:pStyle w:val="BodyTextFirstIndent2"/>
              <w:spacing w:after="120" w:line="240" w:lineRule="auto"/>
              <w:ind w:firstLine="0"/>
              <w:jc w:val="left"/>
            </w:pPr>
          </w:p>
        </w:tc>
        <w:tc>
          <w:tcPr>
            <w:tcW w:w="3420" w:type="dxa"/>
            <w:shd w:val="clear" w:color="auto" w:fill="B8CCE4" w:themeFill="accent1" w:themeFillTint="66"/>
          </w:tcPr>
          <w:p w14:paraId="4737F7EC" w14:textId="77777777" w:rsidR="005F30BD" w:rsidRDefault="005F30BD" w:rsidP="001F18D7">
            <w:pPr>
              <w:pStyle w:val="BodyTextFirstIndent2"/>
              <w:spacing w:after="120" w:line="240" w:lineRule="auto"/>
              <w:ind w:firstLine="0"/>
              <w:jc w:val="left"/>
            </w:pPr>
          </w:p>
        </w:tc>
        <w:tc>
          <w:tcPr>
            <w:tcW w:w="2340" w:type="dxa"/>
            <w:shd w:val="clear" w:color="auto" w:fill="B8CCE4" w:themeFill="accent1" w:themeFillTint="66"/>
          </w:tcPr>
          <w:p w14:paraId="492EEB15" w14:textId="77777777" w:rsidR="005F30BD" w:rsidRDefault="005F30BD" w:rsidP="001F18D7">
            <w:pPr>
              <w:pStyle w:val="BodyTextFirstIndent2"/>
              <w:spacing w:after="120" w:line="240" w:lineRule="auto"/>
              <w:ind w:firstLine="0"/>
              <w:jc w:val="left"/>
            </w:pPr>
          </w:p>
        </w:tc>
      </w:tr>
      <w:tr w:rsidR="005F30BD" w14:paraId="4A1D1C79" w14:textId="77777777" w:rsidTr="00B86918">
        <w:tc>
          <w:tcPr>
            <w:tcW w:w="860" w:type="dxa"/>
          </w:tcPr>
          <w:p w14:paraId="325AFE4A" w14:textId="77777777" w:rsidR="005F30BD" w:rsidRDefault="005F30BD" w:rsidP="001F18D7">
            <w:pPr>
              <w:pStyle w:val="BodyTextFirstIndent2"/>
              <w:spacing w:after="120" w:line="240" w:lineRule="auto"/>
              <w:ind w:firstLine="0"/>
              <w:jc w:val="left"/>
            </w:pPr>
            <w:r>
              <w:t>2</w:t>
            </w:r>
          </w:p>
        </w:tc>
        <w:tc>
          <w:tcPr>
            <w:tcW w:w="1120" w:type="dxa"/>
          </w:tcPr>
          <w:p w14:paraId="67DA2290" w14:textId="4FD10C6D" w:rsidR="005F30BD" w:rsidRDefault="0029023F" w:rsidP="001F18D7">
            <w:pPr>
              <w:pStyle w:val="BodyTextFirstIndent2"/>
              <w:spacing w:after="120" w:line="240" w:lineRule="auto"/>
              <w:ind w:firstLine="0"/>
              <w:jc w:val="left"/>
            </w:pPr>
            <w:r>
              <w:t>9/5</w:t>
            </w:r>
          </w:p>
        </w:tc>
        <w:tc>
          <w:tcPr>
            <w:tcW w:w="3060" w:type="dxa"/>
          </w:tcPr>
          <w:p w14:paraId="250C6BCB" w14:textId="77777777" w:rsidR="005F30BD" w:rsidRDefault="00E96CE0" w:rsidP="001F18D7">
            <w:pPr>
              <w:pStyle w:val="BodyTextFirstIndent2"/>
              <w:spacing w:after="120" w:line="240" w:lineRule="auto"/>
              <w:ind w:firstLine="0"/>
              <w:jc w:val="left"/>
            </w:pPr>
            <w:r>
              <w:t xml:space="preserve">What is </w:t>
            </w:r>
            <w:r w:rsidR="00B86918">
              <w:t>an Investment Contract</w:t>
            </w:r>
            <w:r>
              <w:t xml:space="preserve">? </w:t>
            </w:r>
          </w:p>
          <w:p w14:paraId="366CEBAB" w14:textId="3AC45E82" w:rsidR="00B86918" w:rsidRDefault="00B86918" w:rsidP="001F18D7">
            <w:pPr>
              <w:pStyle w:val="BodyTextFirstIndent2"/>
              <w:spacing w:after="120" w:line="240" w:lineRule="auto"/>
              <w:ind w:firstLine="0"/>
              <w:jc w:val="left"/>
            </w:pPr>
            <w:r>
              <w:t>The Howey tes</w:t>
            </w:r>
            <w:r w:rsidR="00E11CDB">
              <w:t>t</w:t>
            </w:r>
          </w:p>
        </w:tc>
        <w:tc>
          <w:tcPr>
            <w:tcW w:w="3420" w:type="dxa"/>
          </w:tcPr>
          <w:p w14:paraId="0C8133E5" w14:textId="4AA720D4" w:rsidR="00510E9B" w:rsidRDefault="00B11AA4" w:rsidP="00530DA2">
            <w:pPr>
              <w:pStyle w:val="BodyTextFirstIndent2"/>
              <w:spacing w:after="120" w:line="240" w:lineRule="auto"/>
              <w:ind w:firstLine="0"/>
              <w:jc w:val="left"/>
            </w:pPr>
            <w:r>
              <w:t>27-</w:t>
            </w:r>
            <w:r w:rsidR="00BB284D">
              <w:t>5</w:t>
            </w:r>
            <w:r w:rsidR="000506CB">
              <w:t>5</w:t>
            </w:r>
          </w:p>
          <w:p w14:paraId="0B99D48B" w14:textId="1A6A64F7" w:rsidR="0054310A" w:rsidRDefault="00510E9B" w:rsidP="0054310A">
            <w:pPr>
              <w:pStyle w:val="BodyTextFirstIndent2"/>
              <w:spacing w:after="120" w:line="240" w:lineRule="auto"/>
              <w:ind w:firstLine="0"/>
              <w:jc w:val="left"/>
            </w:pPr>
            <w:r>
              <w:t xml:space="preserve">66-71 </w:t>
            </w:r>
            <w:r w:rsidR="00C2180A">
              <w:t>(</w:t>
            </w:r>
            <w:r w:rsidR="00BB284D">
              <w:t>3</w:t>
            </w:r>
            <w:r w:rsidR="000506CB">
              <w:t>1</w:t>
            </w:r>
            <w:r w:rsidR="00C2180A">
              <w:t xml:space="preserve"> p)</w:t>
            </w:r>
          </w:p>
        </w:tc>
        <w:tc>
          <w:tcPr>
            <w:tcW w:w="2340" w:type="dxa"/>
          </w:tcPr>
          <w:p w14:paraId="277B8EAC" w14:textId="76EAAF1A" w:rsidR="000506CB" w:rsidRDefault="000506CB" w:rsidP="001F18D7">
            <w:pPr>
              <w:pStyle w:val="BodyTextFirstIndent2"/>
              <w:spacing w:after="120" w:line="240" w:lineRule="auto"/>
              <w:ind w:firstLine="0"/>
              <w:jc w:val="left"/>
            </w:pPr>
            <w:r>
              <w:t>Wolf of Wall St Humming scene</w:t>
            </w:r>
          </w:p>
        </w:tc>
      </w:tr>
      <w:tr w:rsidR="00E47940" w14:paraId="22F8D111" w14:textId="77777777" w:rsidTr="00B86918">
        <w:tc>
          <w:tcPr>
            <w:tcW w:w="860" w:type="dxa"/>
            <w:shd w:val="clear" w:color="auto" w:fill="B8CCE4" w:themeFill="accent1" w:themeFillTint="66"/>
          </w:tcPr>
          <w:p w14:paraId="59DA2C71" w14:textId="77777777" w:rsidR="00E47940" w:rsidRDefault="00E47940" w:rsidP="001F18D7">
            <w:pPr>
              <w:pStyle w:val="BodyTextFirstIndent2"/>
              <w:spacing w:after="120" w:line="240" w:lineRule="auto"/>
              <w:ind w:firstLine="0"/>
              <w:jc w:val="left"/>
            </w:pPr>
          </w:p>
        </w:tc>
        <w:tc>
          <w:tcPr>
            <w:tcW w:w="1120" w:type="dxa"/>
            <w:shd w:val="clear" w:color="auto" w:fill="B8CCE4" w:themeFill="accent1" w:themeFillTint="66"/>
          </w:tcPr>
          <w:p w14:paraId="21E7C6C4" w14:textId="77777777" w:rsidR="00E47940" w:rsidRDefault="00E47940" w:rsidP="001F18D7">
            <w:pPr>
              <w:pStyle w:val="BodyTextFirstIndent2"/>
              <w:spacing w:after="120" w:line="240" w:lineRule="auto"/>
              <w:ind w:firstLine="0"/>
              <w:jc w:val="left"/>
            </w:pPr>
          </w:p>
        </w:tc>
        <w:tc>
          <w:tcPr>
            <w:tcW w:w="3060" w:type="dxa"/>
            <w:shd w:val="clear" w:color="auto" w:fill="B8CCE4" w:themeFill="accent1" w:themeFillTint="66"/>
          </w:tcPr>
          <w:p w14:paraId="53C10D44" w14:textId="77777777" w:rsidR="00E47940" w:rsidRDefault="00E47940" w:rsidP="001F18D7">
            <w:pPr>
              <w:pStyle w:val="BodyTextFirstIndent2"/>
              <w:spacing w:after="120" w:line="240" w:lineRule="auto"/>
              <w:ind w:firstLine="0"/>
              <w:jc w:val="left"/>
            </w:pPr>
          </w:p>
        </w:tc>
        <w:tc>
          <w:tcPr>
            <w:tcW w:w="3420" w:type="dxa"/>
            <w:shd w:val="clear" w:color="auto" w:fill="B8CCE4" w:themeFill="accent1" w:themeFillTint="66"/>
          </w:tcPr>
          <w:p w14:paraId="3026CF28" w14:textId="77777777" w:rsidR="00E47940" w:rsidRDefault="00E47940" w:rsidP="001F18D7">
            <w:pPr>
              <w:pStyle w:val="BodyTextFirstIndent2"/>
              <w:spacing w:after="120" w:line="240" w:lineRule="auto"/>
              <w:ind w:firstLine="0"/>
              <w:jc w:val="left"/>
            </w:pPr>
          </w:p>
        </w:tc>
        <w:tc>
          <w:tcPr>
            <w:tcW w:w="2340" w:type="dxa"/>
            <w:shd w:val="clear" w:color="auto" w:fill="B8CCE4" w:themeFill="accent1" w:themeFillTint="66"/>
          </w:tcPr>
          <w:p w14:paraId="5BE6091F" w14:textId="77777777" w:rsidR="00E47940" w:rsidRDefault="00E47940" w:rsidP="001F18D7">
            <w:pPr>
              <w:pStyle w:val="BodyTextFirstIndent2"/>
              <w:spacing w:after="120" w:line="240" w:lineRule="auto"/>
              <w:ind w:firstLine="0"/>
              <w:jc w:val="left"/>
            </w:pPr>
          </w:p>
        </w:tc>
      </w:tr>
      <w:tr w:rsidR="00E47940" w14:paraId="6D74253C" w14:textId="77777777" w:rsidTr="00B86918">
        <w:tc>
          <w:tcPr>
            <w:tcW w:w="860" w:type="dxa"/>
          </w:tcPr>
          <w:p w14:paraId="3E7934BF" w14:textId="77777777" w:rsidR="00E47940" w:rsidRDefault="00E47940" w:rsidP="001F18D7">
            <w:pPr>
              <w:pStyle w:val="BodyTextFirstIndent2"/>
              <w:spacing w:after="120" w:line="240" w:lineRule="auto"/>
              <w:ind w:firstLine="0"/>
              <w:jc w:val="left"/>
            </w:pPr>
            <w:r>
              <w:t>3</w:t>
            </w:r>
          </w:p>
        </w:tc>
        <w:tc>
          <w:tcPr>
            <w:tcW w:w="1120" w:type="dxa"/>
          </w:tcPr>
          <w:p w14:paraId="4AE9465F" w14:textId="2D7224A4" w:rsidR="00E47940" w:rsidRDefault="0029023F" w:rsidP="001F18D7">
            <w:pPr>
              <w:pStyle w:val="BodyTextFirstIndent2"/>
              <w:spacing w:after="120" w:line="240" w:lineRule="auto"/>
              <w:ind w:firstLine="0"/>
              <w:jc w:val="left"/>
            </w:pPr>
            <w:r>
              <w:t>9/12</w:t>
            </w:r>
          </w:p>
        </w:tc>
        <w:tc>
          <w:tcPr>
            <w:tcW w:w="3060" w:type="dxa"/>
          </w:tcPr>
          <w:p w14:paraId="723D932F" w14:textId="77777777" w:rsidR="00E47940" w:rsidRDefault="00530DA2" w:rsidP="001F18D7">
            <w:pPr>
              <w:pStyle w:val="BodyTextFirstIndent2"/>
              <w:spacing w:after="120" w:line="240" w:lineRule="auto"/>
              <w:ind w:firstLine="0"/>
              <w:jc w:val="left"/>
            </w:pPr>
            <w:r>
              <w:t>Exempt Securities;</w:t>
            </w:r>
          </w:p>
          <w:p w14:paraId="2E29365F" w14:textId="77777777" w:rsidR="00E96CE0" w:rsidRDefault="00E96CE0" w:rsidP="001F18D7">
            <w:pPr>
              <w:pStyle w:val="BodyTextFirstIndent2"/>
              <w:spacing w:after="120" w:line="240" w:lineRule="auto"/>
              <w:ind w:firstLine="0"/>
              <w:jc w:val="left"/>
            </w:pPr>
            <w:r>
              <w:t>Reg. D</w:t>
            </w:r>
            <w:r w:rsidR="00B86918">
              <w:t>; Reg. A+</w:t>
            </w:r>
          </w:p>
          <w:p w14:paraId="3F4468C3" w14:textId="68E8788E" w:rsidR="00B86918" w:rsidRDefault="00B86918" w:rsidP="001F18D7">
            <w:pPr>
              <w:pStyle w:val="BodyTextFirstIndent2"/>
              <w:spacing w:after="120" w:line="240" w:lineRule="auto"/>
              <w:ind w:firstLine="0"/>
              <w:jc w:val="left"/>
            </w:pPr>
            <w:r>
              <w:t>Crowd funding</w:t>
            </w:r>
          </w:p>
        </w:tc>
        <w:tc>
          <w:tcPr>
            <w:tcW w:w="3420" w:type="dxa"/>
          </w:tcPr>
          <w:p w14:paraId="0949BFBC" w14:textId="77777777" w:rsidR="00180AFF" w:rsidRDefault="00F96950" w:rsidP="001F18D7">
            <w:pPr>
              <w:pStyle w:val="BodyTextFirstIndent2"/>
              <w:spacing w:after="120" w:line="240" w:lineRule="auto"/>
              <w:ind w:firstLine="0"/>
              <w:jc w:val="left"/>
            </w:pPr>
            <w:r>
              <w:t>471-5</w:t>
            </w:r>
            <w:r w:rsidR="00180AFF">
              <w:t>05</w:t>
            </w:r>
          </w:p>
          <w:p w14:paraId="3E73CFE4" w14:textId="7EB012FF" w:rsidR="0054310A" w:rsidRDefault="00180AFF" w:rsidP="001F18D7">
            <w:pPr>
              <w:pStyle w:val="BodyTextFirstIndent2"/>
              <w:spacing w:after="120" w:line="240" w:lineRule="auto"/>
              <w:ind w:firstLine="0"/>
              <w:jc w:val="left"/>
            </w:pPr>
            <w:r>
              <w:t>51</w:t>
            </w:r>
            <w:r w:rsidR="00A523BC">
              <w:t>2</w:t>
            </w:r>
            <w:r>
              <w:t>-517</w:t>
            </w:r>
            <w:r w:rsidR="00DD06DE">
              <w:t xml:space="preserve"> (</w:t>
            </w:r>
            <w:r w:rsidR="00A523BC">
              <w:t>39</w:t>
            </w:r>
            <w:r w:rsidR="000C7AF9">
              <w:t>)</w:t>
            </w:r>
          </w:p>
        </w:tc>
        <w:tc>
          <w:tcPr>
            <w:tcW w:w="2340" w:type="dxa"/>
          </w:tcPr>
          <w:p w14:paraId="7BFB2981" w14:textId="77777777" w:rsidR="00E47940" w:rsidRDefault="00E47940" w:rsidP="001F18D7">
            <w:pPr>
              <w:pStyle w:val="BodyTextFirstIndent2"/>
              <w:spacing w:after="120" w:line="240" w:lineRule="auto"/>
              <w:ind w:firstLine="0"/>
              <w:jc w:val="left"/>
            </w:pPr>
          </w:p>
        </w:tc>
      </w:tr>
      <w:tr w:rsidR="00E47940" w14:paraId="28ADF33E" w14:textId="77777777" w:rsidTr="00B86918">
        <w:tc>
          <w:tcPr>
            <w:tcW w:w="860" w:type="dxa"/>
            <w:shd w:val="clear" w:color="auto" w:fill="B8CCE4" w:themeFill="accent1" w:themeFillTint="66"/>
          </w:tcPr>
          <w:p w14:paraId="1BC553E1" w14:textId="77777777" w:rsidR="00E47940" w:rsidRDefault="00E47940" w:rsidP="001F18D7">
            <w:pPr>
              <w:pStyle w:val="BodyTextFirstIndent2"/>
              <w:spacing w:after="120" w:line="240" w:lineRule="auto"/>
              <w:ind w:firstLine="0"/>
              <w:jc w:val="left"/>
            </w:pPr>
          </w:p>
        </w:tc>
        <w:tc>
          <w:tcPr>
            <w:tcW w:w="1120" w:type="dxa"/>
            <w:shd w:val="clear" w:color="auto" w:fill="B8CCE4" w:themeFill="accent1" w:themeFillTint="66"/>
          </w:tcPr>
          <w:p w14:paraId="7C2F938F" w14:textId="77777777" w:rsidR="00E47940" w:rsidRDefault="00E47940" w:rsidP="001F18D7">
            <w:pPr>
              <w:pStyle w:val="BodyTextFirstIndent2"/>
              <w:spacing w:after="120" w:line="240" w:lineRule="auto"/>
              <w:ind w:firstLine="0"/>
              <w:jc w:val="left"/>
            </w:pPr>
          </w:p>
        </w:tc>
        <w:tc>
          <w:tcPr>
            <w:tcW w:w="3060" w:type="dxa"/>
            <w:shd w:val="clear" w:color="auto" w:fill="B8CCE4" w:themeFill="accent1" w:themeFillTint="66"/>
          </w:tcPr>
          <w:p w14:paraId="483CD753" w14:textId="77777777" w:rsidR="00E47940" w:rsidRDefault="00E47940" w:rsidP="001F18D7">
            <w:pPr>
              <w:pStyle w:val="BodyTextFirstIndent2"/>
              <w:spacing w:after="120" w:line="240" w:lineRule="auto"/>
              <w:ind w:firstLine="0"/>
              <w:jc w:val="left"/>
            </w:pPr>
          </w:p>
        </w:tc>
        <w:tc>
          <w:tcPr>
            <w:tcW w:w="3420" w:type="dxa"/>
            <w:shd w:val="clear" w:color="auto" w:fill="B8CCE4" w:themeFill="accent1" w:themeFillTint="66"/>
          </w:tcPr>
          <w:p w14:paraId="611D6716" w14:textId="77777777" w:rsidR="00E47940" w:rsidRDefault="00E47940" w:rsidP="001F18D7">
            <w:pPr>
              <w:pStyle w:val="BodyTextFirstIndent2"/>
              <w:spacing w:after="120" w:line="240" w:lineRule="auto"/>
              <w:ind w:firstLine="0"/>
              <w:jc w:val="left"/>
            </w:pPr>
          </w:p>
        </w:tc>
        <w:tc>
          <w:tcPr>
            <w:tcW w:w="2340" w:type="dxa"/>
            <w:shd w:val="clear" w:color="auto" w:fill="B8CCE4" w:themeFill="accent1" w:themeFillTint="66"/>
          </w:tcPr>
          <w:p w14:paraId="4008B253" w14:textId="77777777" w:rsidR="00E47940" w:rsidRDefault="00E47940" w:rsidP="001F18D7">
            <w:pPr>
              <w:pStyle w:val="BodyTextFirstIndent2"/>
              <w:spacing w:after="120" w:line="240" w:lineRule="auto"/>
              <w:ind w:firstLine="0"/>
              <w:jc w:val="left"/>
            </w:pPr>
          </w:p>
        </w:tc>
      </w:tr>
      <w:tr w:rsidR="004563BE" w14:paraId="1F8AFD53" w14:textId="77777777" w:rsidTr="00B86918">
        <w:tc>
          <w:tcPr>
            <w:tcW w:w="860" w:type="dxa"/>
          </w:tcPr>
          <w:p w14:paraId="76B92A84" w14:textId="2C59AB52" w:rsidR="004563BE" w:rsidRDefault="004563BE" w:rsidP="001F18D7">
            <w:pPr>
              <w:pStyle w:val="BodyTextFirstIndent2"/>
              <w:spacing w:after="120" w:line="240" w:lineRule="auto"/>
              <w:ind w:firstLine="0"/>
              <w:jc w:val="left"/>
            </w:pPr>
          </w:p>
        </w:tc>
        <w:tc>
          <w:tcPr>
            <w:tcW w:w="1120" w:type="dxa"/>
          </w:tcPr>
          <w:p w14:paraId="38A106DC" w14:textId="27CEDE76" w:rsidR="004563BE" w:rsidRDefault="004563BE" w:rsidP="001F18D7">
            <w:pPr>
              <w:pStyle w:val="BodyTextFirstIndent2"/>
              <w:spacing w:after="120" w:line="240" w:lineRule="auto"/>
              <w:ind w:firstLine="0"/>
              <w:jc w:val="left"/>
            </w:pPr>
          </w:p>
        </w:tc>
        <w:tc>
          <w:tcPr>
            <w:tcW w:w="3060" w:type="dxa"/>
          </w:tcPr>
          <w:p w14:paraId="1490F7F9" w14:textId="563419CE" w:rsidR="004563BE" w:rsidRDefault="004563BE" w:rsidP="002B69B4">
            <w:pPr>
              <w:pStyle w:val="BodyTextFirstIndent2"/>
              <w:spacing w:after="120" w:line="240" w:lineRule="auto"/>
              <w:ind w:firstLine="0"/>
              <w:jc w:val="left"/>
            </w:pPr>
          </w:p>
        </w:tc>
        <w:tc>
          <w:tcPr>
            <w:tcW w:w="3420" w:type="dxa"/>
          </w:tcPr>
          <w:p w14:paraId="1885BAF7" w14:textId="77777777" w:rsidR="004563BE" w:rsidRDefault="004563BE" w:rsidP="00E2377B">
            <w:pPr>
              <w:pStyle w:val="BodyTextFirstIndent2"/>
              <w:spacing w:after="120" w:line="240" w:lineRule="auto"/>
              <w:ind w:firstLine="0"/>
              <w:jc w:val="left"/>
            </w:pPr>
          </w:p>
        </w:tc>
        <w:tc>
          <w:tcPr>
            <w:tcW w:w="2340" w:type="dxa"/>
          </w:tcPr>
          <w:p w14:paraId="5D624F59" w14:textId="3D02B800" w:rsidR="004563BE" w:rsidRDefault="004563BE" w:rsidP="004B4186">
            <w:pPr>
              <w:pStyle w:val="BodyTextFirstIndent2"/>
              <w:spacing w:after="120" w:line="240" w:lineRule="auto"/>
              <w:ind w:firstLine="0"/>
              <w:jc w:val="left"/>
            </w:pPr>
          </w:p>
        </w:tc>
      </w:tr>
      <w:tr w:rsidR="00791AE9" w14:paraId="0A3FA213" w14:textId="77777777" w:rsidTr="00B86918">
        <w:tc>
          <w:tcPr>
            <w:tcW w:w="860" w:type="dxa"/>
          </w:tcPr>
          <w:p w14:paraId="59E494AF" w14:textId="7AF4F8C2" w:rsidR="00791AE9" w:rsidRDefault="00224E7C" w:rsidP="005B1274">
            <w:pPr>
              <w:pStyle w:val="BodyTextFirstIndent2"/>
              <w:spacing w:after="120" w:line="240" w:lineRule="auto"/>
              <w:ind w:firstLine="0"/>
              <w:jc w:val="left"/>
            </w:pPr>
            <w:r>
              <w:t>4</w:t>
            </w:r>
          </w:p>
        </w:tc>
        <w:tc>
          <w:tcPr>
            <w:tcW w:w="1120" w:type="dxa"/>
          </w:tcPr>
          <w:p w14:paraId="36ED7DB5" w14:textId="7C3A00CA" w:rsidR="00B86918" w:rsidRDefault="0029023F" w:rsidP="005B1274">
            <w:pPr>
              <w:pStyle w:val="BodyTextFirstIndent2"/>
              <w:spacing w:after="120" w:line="240" w:lineRule="auto"/>
              <w:ind w:firstLine="0"/>
              <w:jc w:val="left"/>
            </w:pPr>
            <w:r>
              <w:t>9/19</w:t>
            </w:r>
          </w:p>
          <w:p w14:paraId="3128EDE5" w14:textId="2B598454" w:rsidR="00B86918" w:rsidRDefault="00B86918" w:rsidP="005B1274">
            <w:pPr>
              <w:pStyle w:val="BodyTextFirstIndent2"/>
              <w:spacing w:after="120" w:line="240" w:lineRule="auto"/>
              <w:ind w:firstLine="0"/>
              <w:jc w:val="left"/>
            </w:pPr>
          </w:p>
        </w:tc>
        <w:tc>
          <w:tcPr>
            <w:tcW w:w="3060" w:type="dxa"/>
          </w:tcPr>
          <w:p w14:paraId="0A3B2863" w14:textId="77777777" w:rsidR="00791AE9" w:rsidRDefault="00791AE9" w:rsidP="005B1274">
            <w:pPr>
              <w:pStyle w:val="BodyTextFirstIndent2"/>
              <w:spacing w:after="120" w:line="240" w:lineRule="auto"/>
              <w:ind w:firstLine="0"/>
              <w:jc w:val="left"/>
            </w:pPr>
            <w:r>
              <w:t xml:space="preserve">Fraud and Rule 10b-5 </w:t>
            </w:r>
          </w:p>
        </w:tc>
        <w:tc>
          <w:tcPr>
            <w:tcW w:w="3420" w:type="dxa"/>
          </w:tcPr>
          <w:p w14:paraId="1A89084D" w14:textId="77777777" w:rsidR="00791AE9" w:rsidRDefault="00791AE9" w:rsidP="005B1274">
            <w:pPr>
              <w:pStyle w:val="BodyTextFirstIndent2"/>
              <w:spacing w:after="120" w:line="240" w:lineRule="auto"/>
              <w:ind w:firstLine="0"/>
              <w:jc w:val="left"/>
            </w:pPr>
            <w:r>
              <w:t>591-611</w:t>
            </w:r>
          </w:p>
          <w:p w14:paraId="16103D81" w14:textId="77777777" w:rsidR="00791AE9" w:rsidRDefault="00791AE9" w:rsidP="005B1274">
            <w:pPr>
              <w:pStyle w:val="BodyTextFirstIndent2"/>
              <w:spacing w:after="120" w:line="240" w:lineRule="auto"/>
              <w:ind w:firstLine="0"/>
              <w:jc w:val="left"/>
            </w:pPr>
            <w:r>
              <w:t>613-636 (42 p)</w:t>
            </w:r>
          </w:p>
        </w:tc>
        <w:tc>
          <w:tcPr>
            <w:tcW w:w="2340" w:type="dxa"/>
          </w:tcPr>
          <w:p w14:paraId="5C62494B" w14:textId="43D5B47A" w:rsidR="00791AE9" w:rsidRDefault="00791AE9" w:rsidP="005B1274">
            <w:pPr>
              <w:pStyle w:val="BodyTextFirstIndent2"/>
              <w:spacing w:after="120" w:line="240" w:lineRule="auto"/>
              <w:ind w:firstLine="0"/>
              <w:jc w:val="left"/>
            </w:pPr>
            <w:r>
              <w:t>Enron: The Smartest Guys in the Room</w:t>
            </w:r>
          </w:p>
          <w:p w14:paraId="69941A46" w14:textId="77777777" w:rsidR="00E11CDB" w:rsidRDefault="003629D1" w:rsidP="00E11CDB">
            <w:pPr>
              <w:pStyle w:val="BodyTextFirstIndent2"/>
              <w:spacing w:after="120" w:line="240" w:lineRule="auto"/>
              <w:ind w:firstLine="0"/>
              <w:jc w:val="left"/>
            </w:pPr>
            <w:r>
              <w:t>Nikola</w:t>
            </w:r>
            <w:r w:rsidR="00711890">
              <w:t xml:space="preserve"> video</w:t>
            </w:r>
          </w:p>
          <w:p w14:paraId="081434F0" w14:textId="68143076" w:rsidR="003629D1" w:rsidRDefault="003629D1" w:rsidP="00E11CDB">
            <w:pPr>
              <w:pStyle w:val="BodyTextFirstIndent2"/>
              <w:spacing w:after="120" w:line="240" w:lineRule="auto"/>
              <w:ind w:firstLine="0"/>
              <w:jc w:val="left"/>
            </w:pPr>
            <w:r w:rsidRPr="003629D1">
              <w:t>https://www.youtube.com/watch?v=yBCxCcICgtU</w:t>
            </w:r>
          </w:p>
        </w:tc>
      </w:tr>
      <w:tr w:rsidR="006E1604" w14:paraId="39CA4226" w14:textId="77777777" w:rsidTr="00B86918">
        <w:tc>
          <w:tcPr>
            <w:tcW w:w="860" w:type="dxa"/>
          </w:tcPr>
          <w:p w14:paraId="37BDDB35" w14:textId="77777777" w:rsidR="006E1604" w:rsidRDefault="006E1604" w:rsidP="005B1274">
            <w:pPr>
              <w:pStyle w:val="BodyTextFirstIndent2"/>
              <w:spacing w:after="120" w:line="240" w:lineRule="auto"/>
              <w:ind w:firstLine="0"/>
              <w:jc w:val="left"/>
            </w:pPr>
          </w:p>
        </w:tc>
        <w:tc>
          <w:tcPr>
            <w:tcW w:w="1120" w:type="dxa"/>
          </w:tcPr>
          <w:p w14:paraId="098F41AC" w14:textId="77777777" w:rsidR="006E1604" w:rsidRDefault="006E1604" w:rsidP="005B1274">
            <w:pPr>
              <w:pStyle w:val="BodyTextFirstIndent2"/>
              <w:spacing w:after="120" w:line="240" w:lineRule="auto"/>
              <w:ind w:firstLine="0"/>
              <w:jc w:val="left"/>
            </w:pPr>
          </w:p>
        </w:tc>
        <w:tc>
          <w:tcPr>
            <w:tcW w:w="3060" w:type="dxa"/>
          </w:tcPr>
          <w:p w14:paraId="57D7068D" w14:textId="77777777" w:rsidR="006E1604" w:rsidRDefault="006E1604" w:rsidP="005B1274">
            <w:pPr>
              <w:pStyle w:val="BodyTextFirstIndent2"/>
              <w:spacing w:after="120" w:line="240" w:lineRule="auto"/>
              <w:ind w:firstLine="0"/>
              <w:jc w:val="left"/>
            </w:pPr>
          </w:p>
        </w:tc>
        <w:tc>
          <w:tcPr>
            <w:tcW w:w="3420" w:type="dxa"/>
          </w:tcPr>
          <w:p w14:paraId="6F23295C" w14:textId="77777777" w:rsidR="006E1604" w:rsidRDefault="006E1604" w:rsidP="005B1274">
            <w:pPr>
              <w:pStyle w:val="BodyTextFirstIndent2"/>
              <w:spacing w:after="120" w:line="240" w:lineRule="auto"/>
              <w:ind w:firstLine="0"/>
              <w:jc w:val="left"/>
            </w:pPr>
          </w:p>
        </w:tc>
        <w:tc>
          <w:tcPr>
            <w:tcW w:w="2340" w:type="dxa"/>
          </w:tcPr>
          <w:p w14:paraId="32F69BF8" w14:textId="77777777" w:rsidR="006E1604" w:rsidRDefault="006E1604" w:rsidP="005B1274">
            <w:pPr>
              <w:pStyle w:val="BodyTextFirstIndent2"/>
              <w:spacing w:after="120" w:line="240" w:lineRule="auto"/>
              <w:ind w:firstLine="0"/>
              <w:jc w:val="left"/>
            </w:pPr>
          </w:p>
        </w:tc>
      </w:tr>
      <w:tr w:rsidR="00663EDE" w14:paraId="6B37546E" w14:textId="77777777" w:rsidTr="00B86918">
        <w:tc>
          <w:tcPr>
            <w:tcW w:w="860" w:type="dxa"/>
          </w:tcPr>
          <w:p w14:paraId="56902A5A" w14:textId="77777777" w:rsidR="00663EDE" w:rsidRDefault="00663EDE" w:rsidP="005B1274">
            <w:pPr>
              <w:pStyle w:val="BodyTextFirstIndent2"/>
              <w:spacing w:after="120" w:line="240" w:lineRule="auto"/>
              <w:ind w:firstLine="0"/>
              <w:jc w:val="left"/>
            </w:pPr>
            <w:r>
              <w:t>5</w:t>
            </w:r>
          </w:p>
        </w:tc>
        <w:tc>
          <w:tcPr>
            <w:tcW w:w="1120" w:type="dxa"/>
          </w:tcPr>
          <w:p w14:paraId="73B5A6C5" w14:textId="58F3CDF8" w:rsidR="00B86918" w:rsidRDefault="0029023F" w:rsidP="005B1274">
            <w:pPr>
              <w:pStyle w:val="BodyTextFirstIndent2"/>
              <w:spacing w:after="120" w:line="240" w:lineRule="auto"/>
              <w:ind w:firstLine="0"/>
              <w:jc w:val="left"/>
            </w:pPr>
            <w:r>
              <w:t>9/26</w:t>
            </w:r>
          </w:p>
        </w:tc>
        <w:tc>
          <w:tcPr>
            <w:tcW w:w="3060" w:type="dxa"/>
          </w:tcPr>
          <w:p w14:paraId="1ACBB8DF" w14:textId="77777777" w:rsidR="00663EDE" w:rsidRDefault="00663EDE" w:rsidP="005B1274">
            <w:pPr>
              <w:pStyle w:val="BodyTextFirstIndent2"/>
              <w:spacing w:after="120" w:line="240" w:lineRule="auto"/>
              <w:ind w:firstLine="0"/>
              <w:jc w:val="left"/>
            </w:pPr>
            <w:r>
              <w:t>Dealers and Market Makers</w:t>
            </w:r>
          </w:p>
          <w:p w14:paraId="14800CAB" w14:textId="77777777" w:rsidR="00663EDE" w:rsidRDefault="00663EDE" w:rsidP="005B1274">
            <w:pPr>
              <w:pStyle w:val="BodyTextFirstIndent2"/>
              <w:spacing w:after="120" w:line="240" w:lineRule="auto"/>
              <w:ind w:firstLine="0"/>
              <w:jc w:val="left"/>
            </w:pPr>
            <w:r>
              <w:t>Market and Financial Regulation</w:t>
            </w:r>
          </w:p>
          <w:p w14:paraId="0F72C4CE" w14:textId="40E211F3" w:rsidR="00663EDE" w:rsidRDefault="00A523BC" w:rsidP="005B1274">
            <w:pPr>
              <w:pStyle w:val="BodyTextFirstIndent2"/>
              <w:spacing w:after="120" w:line="240" w:lineRule="auto"/>
              <w:ind w:firstLine="0"/>
              <w:jc w:val="left"/>
            </w:pPr>
            <w:r>
              <w:t>Mark-ups/ Boiler Rooms</w:t>
            </w:r>
          </w:p>
        </w:tc>
        <w:tc>
          <w:tcPr>
            <w:tcW w:w="3420" w:type="dxa"/>
          </w:tcPr>
          <w:p w14:paraId="40F4CDA8" w14:textId="77777777" w:rsidR="00663EDE" w:rsidRDefault="00663EDE" w:rsidP="005B1274">
            <w:pPr>
              <w:pStyle w:val="BodyTextFirstIndent2"/>
              <w:spacing w:after="120" w:line="240" w:lineRule="auto"/>
              <w:ind w:firstLine="0"/>
              <w:jc w:val="left"/>
            </w:pPr>
            <w:r>
              <w:t>1033-</w:t>
            </w:r>
            <w:proofErr w:type="gramStart"/>
            <w:r>
              <w:t>1073  (</w:t>
            </w:r>
            <w:proofErr w:type="gramEnd"/>
            <w:r>
              <w:t>40)</w:t>
            </w:r>
          </w:p>
          <w:p w14:paraId="3647B55D" w14:textId="77777777" w:rsidR="0054310A" w:rsidRDefault="0054310A" w:rsidP="005B1274">
            <w:pPr>
              <w:pStyle w:val="BodyTextFirstIndent2"/>
              <w:spacing w:after="120" w:line="240" w:lineRule="auto"/>
              <w:ind w:firstLine="0"/>
              <w:jc w:val="left"/>
            </w:pPr>
          </w:p>
          <w:p w14:paraId="0A827010" w14:textId="77777777" w:rsidR="00663EDE" w:rsidRDefault="00663EDE" w:rsidP="005B1274">
            <w:pPr>
              <w:pStyle w:val="BodyTextFirstIndent2"/>
              <w:spacing w:after="120" w:line="240" w:lineRule="auto"/>
              <w:ind w:firstLine="0"/>
              <w:jc w:val="left"/>
            </w:pPr>
          </w:p>
          <w:p w14:paraId="4911DAF9" w14:textId="77777777" w:rsidR="00663EDE" w:rsidRDefault="00663EDE" w:rsidP="005B1274">
            <w:pPr>
              <w:pStyle w:val="BodyTextFirstIndent2"/>
              <w:spacing w:after="120" w:line="240" w:lineRule="auto"/>
              <w:ind w:firstLine="0"/>
              <w:jc w:val="left"/>
            </w:pPr>
          </w:p>
        </w:tc>
        <w:tc>
          <w:tcPr>
            <w:tcW w:w="2340" w:type="dxa"/>
          </w:tcPr>
          <w:p w14:paraId="4D0A4F09" w14:textId="77777777" w:rsidR="00663EDE" w:rsidRDefault="00663EDE" w:rsidP="005B1274">
            <w:pPr>
              <w:pStyle w:val="BodyTextFirstIndent2"/>
              <w:spacing w:after="120" w:line="240" w:lineRule="auto"/>
              <w:ind w:firstLine="0"/>
              <w:jc w:val="left"/>
            </w:pPr>
            <w:r>
              <w:t xml:space="preserve">Film: Boiler Room </w:t>
            </w:r>
          </w:p>
          <w:p w14:paraId="1F86D82D" w14:textId="77777777" w:rsidR="00663EDE" w:rsidRDefault="00663EDE" w:rsidP="005B1274">
            <w:pPr>
              <w:pStyle w:val="BodyTextFirstIndent2"/>
              <w:spacing w:after="120" w:line="240" w:lineRule="auto"/>
              <w:ind w:firstLine="0"/>
              <w:jc w:val="left"/>
            </w:pPr>
          </w:p>
          <w:p w14:paraId="4A5CF532" w14:textId="77777777" w:rsidR="00663EDE" w:rsidRDefault="00663EDE" w:rsidP="00663EDE">
            <w:pPr>
              <w:pStyle w:val="BodyTextFirstIndent2"/>
              <w:spacing w:after="120" w:line="240" w:lineRule="auto"/>
              <w:ind w:firstLine="0"/>
              <w:jc w:val="left"/>
            </w:pPr>
          </w:p>
        </w:tc>
      </w:tr>
      <w:tr w:rsidR="00FE429B" w14:paraId="3A151820" w14:textId="77777777" w:rsidTr="00B86918">
        <w:tc>
          <w:tcPr>
            <w:tcW w:w="860" w:type="dxa"/>
          </w:tcPr>
          <w:p w14:paraId="66551E86" w14:textId="11DCD62A" w:rsidR="00FE429B" w:rsidRDefault="00663EDE" w:rsidP="005B1274">
            <w:pPr>
              <w:pStyle w:val="BodyTextFirstIndent2"/>
              <w:spacing w:after="120" w:line="240" w:lineRule="auto"/>
              <w:ind w:firstLine="0"/>
              <w:jc w:val="left"/>
            </w:pPr>
            <w:r>
              <w:t>6</w:t>
            </w:r>
          </w:p>
        </w:tc>
        <w:tc>
          <w:tcPr>
            <w:tcW w:w="1120" w:type="dxa"/>
          </w:tcPr>
          <w:p w14:paraId="6A80E2FA" w14:textId="561D68B8" w:rsidR="00FE429B" w:rsidRDefault="0029023F" w:rsidP="005B1274">
            <w:pPr>
              <w:pStyle w:val="BodyTextFirstIndent2"/>
              <w:spacing w:after="120" w:line="240" w:lineRule="auto"/>
              <w:ind w:firstLine="0"/>
              <w:jc w:val="left"/>
            </w:pPr>
            <w:r>
              <w:t>10/3</w:t>
            </w:r>
          </w:p>
        </w:tc>
        <w:tc>
          <w:tcPr>
            <w:tcW w:w="3060" w:type="dxa"/>
          </w:tcPr>
          <w:p w14:paraId="6D908B07" w14:textId="77777777" w:rsidR="00FE429B" w:rsidRDefault="00FE429B" w:rsidP="00E54A61">
            <w:pPr>
              <w:pStyle w:val="BodyTextFirstIndent2"/>
              <w:spacing w:line="240" w:lineRule="auto"/>
              <w:ind w:firstLine="0"/>
              <w:jc w:val="left"/>
            </w:pPr>
            <w:r>
              <w:t>Insider Trading</w:t>
            </w:r>
          </w:p>
          <w:p w14:paraId="5D326F32" w14:textId="77777777" w:rsidR="00FE429B" w:rsidRDefault="00FE429B" w:rsidP="00E54A61">
            <w:pPr>
              <w:pStyle w:val="BodyTextFirstIndent2"/>
              <w:spacing w:line="240" w:lineRule="auto"/>
              <w:ind w:firstLine="0"/>
              <w:jc w:val="left"/>
            </w:pPr>
            <w:r>
              <w:t>Chiarella</w:t>
            </w:r>
          </w:p>
          <w:p w14:paraId="72E0C17B" w14:textId="77777777" w:rsidR="00FE429B" w:rsidRDefault="00FE429B" w:rsidP="00E54A61">
            <w:pPr>
              <w:pStyle w:val="BodyTextFirstIndent2"/>
              <w:spacing w:line="240" w:lineRule="auto"/>
              <w:ind w:firstLine="0"/>
              <w:jc w:val="left"/>
            </w:pPr>
            <w:proofErr w:type="spellStart"/>
            <w:r>
              <w:t>O’Hagen</w:t>
            </w:r>
            <w:proofErr w:type="spellEnd"/>
          </w:p>
          <w:p w14:paraId="3BBDA502" w14:textId="7BD1D763" w:rsidR="00FE429B" w:rsidRDefault="00FE429B" w:rsidP="00E54A61">
            <w:pPr>
              <w:pStyle w:val="BodyTextFirstIndent2"/>
              <w:spacing w:line="240" w:lineRule="auto"/>
              <w:ind w:firstLine="0"/>
              <w:jc w:val="left"/>
            </w:pPr>
            <w:r>
              <w:t>Salman</w:t>
            </w:r>
          </w:p>
        </w:tc>
        <w:tc>
          <w:tcPr>
            <w:tcW w:w="3420" w:type="dxa"/>
          </w:tcPr>
          <w:p w14:paraId="75701730" w14:textId="77777777" w:rsidR="00FE429B" w:rsidRDefault="00FE429B" w:rsidP="00E54A61">
            <w:pPr>
              <w:pStyle w:val="BodyTextFirstIndent2"/>
              <w:spacing w:line="240" w:lineRule="auto"/>
              <w:ind w:firstLine="0"/>
              <w:jc w:val="left"/>
            </w:pPr>
            <w:r>
              <w:t>856-866</w:t>
            </w:r>
          </w:p>
          <w:p w14:paraId="683687FE" w14:textId="77777777" w:rsidR="00FE429B" w:rsidRDefault="00FE429B" w:rsidP="00E54A61">
            <w:pPr>
              <w:pStyle w:val="BodyTextFirstIndent2"/>
              <w:spacing w:line="240" w:lineRule="auto"/>
              <w:ind w:firstLine="0"/>
              <w:jc w:val="left"/>
            </w:pPr>
            <w:r w:rsidRPr="7722A487">
              <w:t>875-878</w:t>
            </w:r>
          </w:p>
          <w:p w14:paraId="0F0C0959" w14:textId="77777777" w:rsidR="00FE429B" w:rsidRDefault="00FE429B" w:rsidP="00E54A61">
            <w:pPr>
              <w:pStyle w:val="BodyTextFirstIndent2"/>
              <w:spacing w:line="240" w:lineRule="auto"/>
              <w:ind w:firstLine="0"/>
              <w:jc w:val="left"/>
            </w:pPr>
            <w:r>
              <w:t>880-909 (43 p)</w:t>
            </w:r>
          </w:p>
        </w:tc>
        <w:tc>
          <w:tcPr>
            <w:tcW w:w="2340" w:type="dxa"/>
          </w:tcPr>
          <w:p w14:paraId="5BCF484A" w14:textId="77777777" w:rsidR="00FE429B" w:rsidRDefault="00FE429B" w:rsidP="005B1274">
            <w:pPr>
              <w:pStyle w:val="BodyTextFirstIndent2"/>
              <w:spacing w:after="120" w:line="240" w:lineRule="auto"/>
              <w:ind w:firstLine="0"/>
              <w:jc w:val="left"/>
            </w:pPr>
            <w:r>
              <w:t>Film: Wall Street</w:t>
            </w:r>
          </w:p>
        </w:tc>
      </w:tr>
      <w:tr w:rsidR="002D396F" w14:paraId="5E06E6EE" w14:textId="77777777" w:rsidTr="00B86918">
        <w:tc>
          <w:tcPr>
            <w:tcW w:w="860" w:type="dxa"/>
            <w:shd w:val="clear" w:color="auto" w:fill="B8CCE4" w:themeFill="accent1" w:themeFillTint="66"/>
          </w:tcPr>
          <w:p w14:paraId="2741247F" w14:textId="77777777" w:rsidR="002D396F" w:rsidRDefault="002D396F" w:rsidP="005B1274">
            <w:pPr>
              <w:pStyle w:val="BodyTextFirstIndent2"/>
              <w:spacing w:after="120" w:line="240" w:lineRule="auto"/>
              <w:ind w:firstLine="0"/>
              <w:jc w:val="left"/>
            </w:pPr>
          </w:p>
        </w:tc>
        <w:tc>
          <w:tcPr>
            <w:tcW w:w="1120" w:type="dxa"/>
            <w:shd w:val="clear" w:color="auto" w:fill="B8CCE4" w:themeFill="accent1" w:themeFillTint="66"/>
          </w:tcPr>
          <w:p w14:paraId="0921F5D4" w14:textId="77777777" w:rsidR="002D396F" w:rsidRDefault="002D396F" w:rsidP="005B1274">
            <w:pPr>
              <w:pStyle w:val="BodyTextFirstIndent2"/>
              <w:spacing w:after="120" w:line="240" w:lineRule="auto"/>
              <w:ind w:firstLine="0"/>
              <w:jc w:val="left"/>
            </w:pPr>
          </w:p>
        </w:tc>
        <w:tc>
          <w:tcPr>
            <w:tcW w:w="3060" w:type="dxa"/>
            <w:shd w:val="clear" w:color="auto" w:fill="B8CCE4" w:themeFill="accent1" w:themeFillTint="66"/>
          </w:tcPr>
          <w:p w14:paraId="76E089BF" w14:textId="77777777" w:rsidR="002D396F" w:rsidRDefault="002D396F" w:rsidP="005B1274">
            <w:pPr>
              <w:pStyle w:val="BodyTextFirstIndent2"/>
              <w:spacing w:after="120" w:line="240" w:lineRule="auto"/>
              <w:ind w:firstLine="0"/>
              <w:jc w:val="left"/>
            </w:pPr>
          </w:p>
        </w:tc>
        <w:tc>
          <w:tcPr>
            <w:tcW w:w="3420" w:type="dxa"/>
            <w:shd w:val="clear" w:color="auto" w:fill="B8CCE4" w:themeFill="accent1" w:themeFillTint="66"/>
          </w:tcPr>
          <w:p w14:paraId="1F116C62" w14:textId="77777777" w:rsidR="002D396F" w:rsidRDefault="002D396F" w:rsidP="005B1274">
            <w:pPr>
              <w:pStyle w:val="BodyTextFirstIndent2"/>
              <w:spacing w:after="120" w:line="240" w:lineRule="auto"/>
              <w:ind w:firstLine="0"/>
              <w:jc w:val="left"/>
            </w:pPr>
          </w:p>
        </w:tc>
        <w:tc>
          <w:tcPr>
            <w:tcW w:w="2340" w:type="dxa"/>
            <w:shd w:val="clear" w:color="auto" w:fill="B8CCE4" w:themeFill="accent1" w:themeFillTint="66"/>
          </w:tcPr>
          <w:p w14:paraId="7A77B926" w14:textId="77777777" w:rsidR="002D396F" w:rsidRDefault="002D396F" w:rsidP="005B1274">
            <w:pPr>
              <w:pStyle w:val="BodyTextFirstIndent2"/>
              <w:spacing w:after="120" w:line="240" w:lineRule="auto"/>
              <w:ind w:firstLine="0"/>
              <w:jc w:val="left"/>
            </w:pPr>
          </w:p>
        </w:tc>
      </w:tr>
      <w:tr w:rsidR="00224E7C" w14:paraId="6DDB5A60" w14:textId="77777777" w:rsidTr="00B86918">
        <w:tc>
          <w:tcPr>
            <w:tcW w:w="860" w:type="dxa"/>
          </w:tcPr>
          <w:p w14:paraId="672C1CA9" w14:textId="77777777" w:rsidR="00224E7C" w:rsidRDefault="00224E7C" w:rsidP="005B1274">
            <w:pPr>
              <w:pStyle w:val="BodyTextFirstIndent2"/>
              <w:spacing w:after="120" w:line="240" w:lineRule="auto"/>
              <w:ind w:firstLine="0"/>
              <w:jc w:val="left"/>
            </w:pPr>
          </w:p>
        </w:tc>
        <w:tc>
          <w:tcPr>
            <w:tcW w:w="1120" w:type="dxa"/>
          </w:tcPr>
          <w:p w14:paraId="22547602" w14:textId="77777777" w:rsidR="00224E7C" w:rsidRDefault="00224E7C" w:rsidP="005B1274">
            <w:pPr>
              <w:pStyle w:val="BodyTextFirstIndent2"/>
              <w:spacing w:after="120" w:line="240" w:lineRule="auto"/>
              <w:ind w:firstLine="0"/>
              <w:jc w:val="left"/>
            </w:pPr>
          </w:p>
        </w:tc>
        <w:tc>
          <w:tcPr>
            <w:tcW w:w="3060" w:type="dxa"/>
          </w:tcPr>
          <w:p w14:paraId="1D3FF2CF" w14:textId="77777777" w:rsidR="00224E7C" w:rsidRDefault="00224E7C" w:rsidP="005B1274">
            <w:pPr>
              <w:pStyle w:val="BodyTextFirstIndent2"/>
              <w:spacing w:after="120" w:line="240" w:lineRule="auto"/>
              <w:ind w:firstLine="0"/>
              <w:jc w:val="left"/>
            </w:pPr>
          </w:p>
        </w:tc>
        <w:tc>
          <w:tcPr>
            <w:tcW w:w="3420" w:type="dxa"/>
          </w:tcPr>
          <w:p w14:paraId="3952BF00" w14:textId="77777777" w:rsidR="00224E7C" w:rsidRDefault="00224E7C" w:rsidP="005B1274">
            <w:pPr>
              <w:pStyle w:val="BodyTextFirstIndent2"/>
              <w:spacing w:after="120" w:line="240" w:lineRule="auto"/>
              <w:ind w:firstLine="0"/>
              <w:jc w:val="left"/>
            </w:pPr>
          </w:p>
        </w:tc>
        <w:tc>
          <w:tcPr>
            <w:tcW w:w="2340" w:type="dxa"/>
          </w:tcPr>
          <w:p w14:paraId="367627A3" w14:textId="77777777" w:rsidR="00224E7C" w:rsidRDefault="00224E7C" w:rsidP="005B1274">
            <w:pPr>
              <w:pStyle w:val="BodyTextFirstIndent2"/>
              <w:spacing w:after="120" w:line="240" w:lineRule="auto"/>
              <w:ind w:firstLine="0"/>
              <w:jc w:val="left"/>
            </w:pPr>
          </w:p>
        </w:tc>
      </w:tr>
      <w:tr w:rsidR="00FE429B" w14:paraId="62937C93" w14:textId="77777777" w:rsidTr="00B86918">
        <w:tc>
          <w:tcPr>
            <w:tcW w:w="860" w:type="dxa"/>
          </w:tcPr>
          <w:p w14:paraId="520140C0" w14:textId="77777777" w:rsidR="00FE429B" w:rsidRDefault="00FE429B" w:rsidP="005B1274">
            <w:pPr>
              <w:pStyle w:val="BodyTextFirstIndent2"/>
              <w:spacing w:after="120" w:line="240" w:lineRule="auto"/>
              <w:ind w:firstLine="0"/>
              <w:jc w:val="left"/>
            </w:pPr>
            <w:r>
              <w:t>7</w:t>
            </w:r>
          </w:p>
        </w:tc>
        <w:tc>
          <w:tcPr>
            <w:tcW w:w="1120" w:type="dxa"/>
          </w:tcPr>
          <w:p w14:paraId="151DE4D6" w14:textId="03CC1F22" w:rsidR="00FE429B" w:rsidRDefault="0029023F" w:rsidP="005B1274">
            <w:pPr>
              <w:pStyle w:val="BodyTextFirstIndent2"/>
              <w:spacing w:after="120" w:line="240" w:lineRule="auto"/>
              <w:ind w:firstLine="0"/>
              <w:jc w:val="left"/>
            </w:pPr>
            <w:r>
              <w:t>10/10</w:t>
            </w:r>
          </w:p>
        </w:tc>
        <w:tc>
          <w:tcPr>
            <w:tcW w:w="3060" w:type="dxa"/>
          </w:tcPr>
          <w:p w14:paraId="36E0AC7A" w14:textId="77777777" w:rsidR="00FE429B" w:rsidRDefault="00FE429B" w:rsidP="005B1274">
            <w:pPr>
              <w:pStyle w:val="BodyTextFirstIndent2"/>
              <w:spacing w:after="120" w:line="240" w:lineRule="auto"/>
              <w:ind w:firstLine="0"/>
              <w:jc w:val="left"/>
            </w:pPr>
            <w:r>
              <w:t xml:space="preserve">Investment Advisers </w:t>
            </w:r>
          </w:p>
          <w:p w14:paraId="644589C7" w14:textId="77777777" w:rsidR="00FE429B" w:rsidRDefault="00FE429B" w:rsidP="005B1274">
            <w:pPr>
              <w:pStyle w:val="BodyTextFirstIndent2"/>
              <w:spacing w:after="120" w:line="240" w:lineRule="auto"/>
              <w:ind w:firstLine="0"/>
              <w:jc w:val="left"/>
            </w:pPr>
            <w:r>
              <w:t>Fiduciary Duty/ Lowe v. SEC</w:t>
            </w:r>
          </w:p>
          <w:p w14:paraId="5AC37FBE" w14:textId="77777777" w:rsidR="00FE429B" w:rsidRDefault="00FE429B" w:rsidP="005B1274">
            <w:pPr>
              <w:pStyle w:val="BodyTextFirstIndent2"/>
              <w:spacing w:after="120" w:line="240" w:lineRule="auto"/>
              <w:ind w:firstLine="0"/>
              <w:jc w:val="left"/>
            </w:pPr>
            <w:r>
              <w:t>Wall St Publishing</w:t>
            </w:r>
          </w:p>
          <w:p w14:paraId="19087DCF" w14:textId="77777777" w:rsidR="00FE429B" w:rsidRDefault="00FE429B" w:rsidP="005B1274">
            <w:pPr>
              <w:pStyle w:val="BodyTextFirstIndent2"/>
              <w:spacing w:after="120" w:line="240" w:lineRule="auto"/>
              <w:ind w:firstLine="0"/>
              <w:jc w:val="left"/>
            </w:pPr>
            <w:r>
              <w:t>Capital Gains/Zweig/ Park</w:t>
            </w:r>
          </w:p>
          <w:p w14:paraId="75CF233F" w14:textId="77777777" w:rsidR="00FE429B" w:rsidRDefault="00FE429B" w:rsidP="005B1274">
            <w:pPr>
              <w:pStyle w:val="BodyTextFirstIndent2"/>
              <w:spacing w:after="120" w:line="240" w:lineRule="auto"/>
              <w:ind w:firstLine="0"/>
              <w:jc w:val="left"/>
            </w:pPr>
          </w:p>
        </w:tc>
        <w:tc>
          <w:tcPr>
            <w:tcW w:w="3420" w:type="dxa"/>
          </w:tcPr>
          <w:p w14:paraId="268818CE" w14:textId="7B569BD2" w:rsidR="00FE429B" w:rsidRDefault="00FE429B" w:rsidP="005B1274">
            <w:pPr>
              <w:pStyle w:val="BodyTextFirstIndent2"/>
              <w:spacing w:after="120" w:line="240" w:lineRule="auto"/>
              <w:ind w:firstLine="0"/>
              <w:jc w:val="left"/>
            </w:pPr>
            <w:r>
              <w:t>1245-12</w:t>
            </w:r>
            <w:r w:rsidR="00CA0A64">
              <w:t>6</w:t>
            </w:r>
            <w:r w:rsidR="00ED6661">
              <w:t>3</w:t>
            </w:r>
            <w:r>
              <w:t xml:space="preserve"> (</w:t>
            </w:r>
            <w:r w:rsidR="00ED6661">
              <w:t>18</w:t>
            </w:r>
            <w:r>
              <w:t xml:space="preserve"> p)</w:t>
            </w:r>
          </w:p>
          <w:p w14:paraId="71F62A90" w14:textId="3C924BF6" w:rsidR="00CA0A64" w:rsidRDefault="00CA0A64" w:rsidP="005B1274">
            <w:pPr>
              <w:pStyle w:val="BodyTextFirstIndent2"/>
              <w:spacing w:after="120" w:line="240" w:lineRule="auto"/>
              <w:ind w:firstLine="0"/>
              <w:jc w:val="left"/>
            </w:pPr>
            <w:r>
              <w:t>1270-1273 (</w:t>
            </w:r>
            <w:r w:rsidR="003011DD">
              <w:t>4</w:t>
            </w:r>
            <w:r>
              <w:t xml:space="preserve"> p)</w:t>
            </w:r>
          </w:p>
          <w:p w14:paraId="4E2C667C" w14:textId="4E58DE6F" w:rsidR="00FE429B" w:rsidRDefault="00FE429B" w:rsidP="005B1274">
            <w:pPr>
              <w:pStyle w:val="BodyTextFirstIndent2"/>
              <w:spacing w:after="120" w:line="240" w:lineRule="auto"/>
              <w:ind w:firstLine="0"/>
              <w:jc w:val="left"/>
            </w:pPr>
            <w:r>
              <w:t>1133-115</w:t>
            </w:r>
            <w:r w:rsidR="00CA0A64">
              <w:t>1</w:t>
            </w:r>
            <w:r>
              <w:t xml:space="preserve"> (</w:t>
            </w:r>
            <w:r w:rsidR="005F5FDB">
              <w:t>2</w:t>
            </w:r>
            <w:r w:rsidR="00CA0A64">
              <w:t>1</w:t>
            </w:r>
            <w:r>
              <w:t xml:space="preserve"> p)</w:t>
            </w:r>
          </w:p>
        </w:tc>
        <w:tc>
          <w:tcPr>
            <w:tcW w:w="2340" w:type="dxa"/>
          </w:tcPr>
          <w:p w14:paraId="1864801C" w14:textId="77777777" w:rsidR="00FE429B" w:rsidRDefault="00FE429B" w:rsidP="005B1274">
            <w:pPr>
              <w:pStyle w:val="BodyTextFirstIndent2"/>
              <w:spacing w:after="120" w:line="240" w:lineRule="auto"/>
              <w:ind w:firstLine="0"/>
              <w:jc w:val="left"/>
            </w:pPr>
          </w:p>
        </w:tc>
      </w:tr>
      <w:tr w:rsidR="00A93932" w14:paraId="3A81C07D" w14:textId="77777777" w:rsidTr="00B86918">
        <w:tc>
          <w:tcPr>
            <w:tcW w:w="860" w:type="dxa"/>
          </w:tcPr>
          <w:p w14:paraId="30C62652" w14:textId="636C66BD" w:rsidR="00A93932" w:rsidRDefault="001427F1" w:rsidP="005B1274">
            <w:pPr>
              <w:pStyle w:val="BodyTextFirstIndent2"/>
              <w:spacing w:after="120" w:line="240" w:lineRule="auto"/>
              <w:ind w:firstLine="0"/>
              <w:jc w:val="left"/>
            </w:pPr>
            <w:r>
              <w:t>8</w:t>
            </w:r>
          </w:p>
        </w:tc>
        <w:tc>
          <w:tcPr>
            <w:tcW w:w="1120" w:type="dxa"/>
          </w:tcPr>
          <w:p w14:paraId="3CB8EA23" w14:textId="6340E31D" w:rsidR="00A93932" w:rsidRDefault="0029023F" w:rsidP="005B1274">
            <w:pPr>
              <w:pStyle w:val="BodyTextFirstIndent2"/>
              <w:spacing w:after="120" w:line="240" w:lineRule="auto"/>
              <w:ind w:firstLine="0"/>
              <w:jc w:val="left"/>
            </w:pPr>
            <w:r>
              <w:t>10/17</w:t>
            </w:r>
          </w:p>
        </w:tc>
        <w:tc>
          <w:tcPr>
            <w:tcW w:w="3060" w:type="dxa"/>
          </w:tcPr>
          <w:p w14:paraId="25E90687" w14:textId="77777777" w:rsidR="00A93932" w:rsidRDefault="00A93932" w:rsidP="005B1274">
            <w:pPr>
              <w:pStyle w:val="BodyTextFirstIndent2"/>
              <w:spacing w:after="120" w:line="240" w:lineRule="auto"/>
              <w:ind w:firstLine="0"/>
              <w:jc w:val="left"/>
            </w:pPr>
            <w:r>
              <w:t>Suitability/ Reg BI</w:t>
            </w:r>
          </w:p>
          <w:p w14:paraId="258BF56A" w14:textId="77777777" w:rsidR="00605ECC" w:rsidRDefault="00605ECC" w:rsidP="005B1274">
            <w:pPr>
              <w:pStyle w:val="BodyTextFirstIndent2"/>
              <w:spacing w:after="120" w:line="240" w:lineRule="auto"/>
              <w:ind w:firstLine="0"/>
              <w:jc w:val="left"/>
            </w:pPr>
          </w:p>
          <w:p w14:paraId="503CE7C4" w14:textId="77777777" w:rsidR="00605ECC" w:rsidRDefault="00605ECC" w:rsidP="005B1274">
            <w:pPr>
              <w:pStyle w:val="BodyTextFirstIndent2"/>
              <w:spacing w:after="120" w:line="240" w:lineRule="auto"/>
              <w:ind w:firstLine="0"/>
              <w:jc w:val="left"/>
            </w:pPr>
          </w:p>
          <w:p w14:paraId="1CFB0C18" w14:textId="16EF245A" w:rsidR="00605ECC" w:rsidRDefault="00605ECC" w:rsidP="005B1274">
            <w:pPr>
              <w:pStyle w:val="BodyTextFirstIndent2"/>
              <w:spacing w:after="120" w:line="240" w:lineRule="auto"/>
              <w:ind w:firstLine="0"/>
              <w:jc w:val="left"/>
            </w:pPr>
          </w:p>
        </w:tc>
        <w:tc>
          <w:tcPr>
            <w:tcW w:w="3420" w:type="dxa"/>
          </w:tcPr>
          <w:p w14:paraId="50F9DD8B" w14:textId="77777777" w:rsidR="00A93932" w:rsidRDefault="00A93932" w:rsidP="005B1274">
            <w:pPr>
              <w:pStyle w:val="BodyTextFirstIndent2"/>
              <w:spacing w:after="120" w:line="240" w:lineRule="auto"/>
              <w:ind w:firstLine="0"/>
              <w:jc w:val="left"/>
            </w:pPr>
            <w:r>
              <w:t>1105-</w:t>
            </w:r>
            <w:proofErr w:type="gramStart"/>
            <w:r>
              <w:t>1</w:t>
            </w:r>
            <w:r w:rsidR="00DA668F">
              <w:t>133</w:t>
            </w:r>
            <w:r>
              <w:t xml:space="preserve">  (</w:t>
            </w:r>
            <w:proofErr w:type="gramEnd"/>
            <w:r w:rsidR="00DA668F">
              <w:t>18</w:t>
            </w:r>
            <w:r>
              <w:t xml:space="preserve"> p)</w:t>
            </w:r>
          </w:p>
          <w:p w14:paraId="6C736777" w14:textId="574BD231" w:rsidR="00DA668F" w:rsidRDefault="00DA668F" w:rsidP="00E11CDB">
            <w:pPr>
              <w:pStyle w:val="BodyTextFirstIndent2"/>
              <w:spacing w:after="120" w:line="240" w:lineRule="auto"/>
              <w:ind w:firstLine="0"/>
              <w:jc w:val="left"/>
            </w:pPr>
            <w:r>
              <w:t xml:space="preserve">Temkin, King and </w:t>
            </w:r>
            <w:proofErr w:type="gramStart"/>
            <w:r>
              <w:t xml:space="preserve">Markarian,  </w:t>
            </w:r>
            <w:r w:rsidRPr="00EB27A6">
              <w:t>SEC</w:t>
            </w:r>
            <w:proofErr w:type="gramEnd"/>
            <w:r w:rsidRPr="00EB27A6">
              <w:t xml:space="preserve"> Regulation Best Interest: A Practical Guide to Broker Dealers</w:t>
            </w:r>
            <w:r>
              <w:t xml:space="preserve"> </w:t>
            </w:r>
            <w:r w:rsidRPr="00CE1AD8">
              <w:t>https://businesslawtoday.org/2020/05/sec-regulation-best-interest-practical-guide-broker-dealers-investment-advisers/</w:t>
            </w:r>
          </w:p>
        </w:tc>
        <w:tc>
          <w:tcPr>
            <w:tcW w:w="2340" w:type="dxa"/>
          </w:tcPr>
          <w:p w14:paraId="5AED6769" w14:textId="77777777" w:rsidR="003708BD" w:rsidRDefault="003708BD" w:rsidP="005B1274">
            <w:pPr>
              <w:pStyle w:val="BodyTextFirstIndent2"/>
              <w:spacing w:after="120" w:line="240" w:lineRule="auto"/>
              <w:ind w:firstLine="0"/>
              <w:jc w:val="left"/>
            </w:pPr>
          </w:p>
          <w:p w14:paraId="2255393E" w14:textId="631A5478" w:rsidR="003708BD" w:rsidRDefault="003708BD" w:rsidP="005B1274">
            <w:pPr>
              <w:pStyle w:val="BodyTextFirstIndent2"/>
              <w:spacing w:after="120" w:line="240" w:lineRule="auto"/>
              <w:ind w:firstLine="0"/>
              <w:jc w:val="left"/>
            </w:pPr>
            <w:r>
              <w:t xml:space="preserve">Reg. </w:t>
            </w:r>
            <w:r w:rsidR="00BF2BA2">
              <w:t>BI</w:t>
            </w:r>
            <w:r>
              <w:t xml:space="preserve"> PowerPoint</w:t>
            </w:r>
          </w:p>
        </w:tc>
      </w:tr>
      <w:tr w:rsidR="00E47940" w14:paraId="327330AD" w14:textId="77777777" w:rsidTr="00B86918">
        <w:tc>
          <w:tcPr>
            <w:tcW w:w="860" w:type="dxa"/>
            <w:shd w:val="clear" w:color="auto" w:fill="auto"/>
          </w:tcPr>
          <w:p w14:paraId="49D629AD" w14:textId="4A73CABA" w:rsidR="00E47940" w:rsidRDefault="001427F1" w:rsidP="001F18D7">
            <w:pPr>
              <w:pStyle w:val="BodyTextFirstIndent2"/>
              <w:spacing w:after="120" w:line="240" w:lineRule="auto"/>
              <w:ind w:firstLine="0"/>
              <w:jc w:val="left"/>
            </w:pPr>
            <w:r>
              <w:t>9</w:t>
            </w:r>
          </w:p>
        </w:tc>
        <w:tc>
          <w:tcPr>
            <w:tcW w:w="1120" w:type="dxa"/>
            <w:shd w:val="clear" w:color="auto" w:fill="auto"/>
          </w:tcPr>
          <w:p w14:paraId="3809BD4C" w14:textId="1BBAC118" w:rsidR="00E47940" w:rsidRDefault="0029023F" w:rsidP="001F18D7">
            <w:pPr>
              <w:pStyle w:val="BodyTextFirstIndent2"/>
              <w:spacing w:after="120" w:line="240" w:lineRule="auto"/>
              <w:ind w:firstLine="0"/>
              <w:jc w:val="left"/>
            </w:pPr>
            <w:r>
              <w:t>10/24</w:t>
            </w:r>
          </w:p>
        </w:tc>
        <w:tc>
          <w:tcPr>
            <w:tcW w:w="3060" w:type="dxa"/>
            <w:shd w:val="clear" w:color="auto" w:fill="auto"/>
          </w:tcPr>
          <w:p w14:paraId="1ED1BAA0" w14:textId="77777777" w:rsidR="00A523BC" w:rsidRDefault="00C61B94" w:rsidP="002B69B4">
            <w:pPr>
              <w:pStyle w:val="BodyTextFirstIndent2"/>
              <w:spacing w:after="120" w:line="240" w:lineRule="auto"/>
              <w:ind w:firstLine="0"/>
              <w:jc w:val="left"/>
            </w:pPr>
            <w:r>
              <w:t>Disclosure</w:t>
            </w:r>
          </w:p>
          <w:p w14:paraId="3C207E5E" w14:textId="46562E18" w:rsidR="00C61B94" w:rsidRDefault="00C61B94" w:rsidP="002B69B4">
            <w:pPr>
              <w:pStyle w:val="BodyTextFirstIndent2"/>
              <w:spacing w:after="120" w:line="240" w:lineRule="auto"/>
              <w:ind w:firstLine="0"/>
              <w:jc w:val="left"/>
            </w:pPr>
            <w:r>
              <w:t>Registration Statements</w:t>
            </w:r>
          </w:p>
        </w:tc>
        <w:tc>
          <w:tcPr>
            <w:tcW w:w="3420" w:type="dxa"/>
            <w:shd w:val="clear" w:color="auto" w:fill="auto"/>
          </w:tcPr>
          <w:p w14:paraId="512A3884" w14:textId="4197F944" w:rsidR="00E711D4" w:rsidRDefault="00C61B94" w:rsidP="00C61B94">
            <w:pPr>
              <w:pStyle w:val="BodyTextFirstIndent2"/>
              <w:spacing w:after="120" w:line="240" w:lineRule="auto"/>
              <w:ind w:firstLine="0"/>
              <w:jc w:val="left"/>
            </w:pPr>
            <w:r>
              <w:t>112-119</w:t>
            </w:r>
            <w:r w:rsidR="000B577D">
              <w:t xml:space="preserve"> (7)</w:t>
            </w:r>
          </w:p>
          <w:p w14:paraId="24177821" w14:textId="6F65723C" w:rsidR="00C61B94" w:rsidRDefault="00C61B94" w:rsidP="00C61B94">
            <w:pPr>
              <w:pStyle w:val="BodyTextFirstIndent2"/>
              <w:spacing w:after="120" w:line="240" w:lineRule="auto"/>
              <w:ind w:firstLine="0"/>
              <w:jc w:val="left"/>
            </w:pPr>
            <w:r>
              <w:t>182-190</w:t>
            </w:r>
            <w:r w:rsidR="000B577D">
              <w:t xml:space="preserve"> (8)</w:t>
            </w:r>
          </w:p>
          <w:p w14:paraId="58A51FD6" w14:textId="77777777" w:rsidR="000B577D" w:rsidRDefault="000B577D" w:rsidP="00C61B94">
            <w:pPr>
              <w:pStyle w:val="BodyTextFirstIndent2"/>
              <w:spacing w:after="120" w:line="240" w:lineRule="auto"/>
              <w:ind w:firstLine="0"/>
              <w:jc w:val="left"/>
            </w:pPr>
            <w:r>
              <w:t>283-292 (9)</w:t>
            </w:r>
          </w:p>
          <w:p w14:paraId="6EC030BA" w14:textId="3FA3D2AD" w:rsidR="00EB51D1" w:rsidRDefault="00EB51D1" w:rsidP="00C61B94">
            <w:pPr>
              <w:pStyle w:val="BodyTextFirstIndent2"/>
              <w:spacing w:after="120" w:line="240" w:lineRule="auto"/>
              <w:ind w:firstLine="0"/>
              <w:jc w:val="left"/>
            </w:pPr>
            <w:r w:rsidRPr="00EB51D1">
              <w:t>https://www.sec.gov/Archives/edgar/data/1021113/000110465913024368/a12-28783_110k.htm</w:t>
            </w:r>
          </w:p>
        </w:tc>
        <w:tc>
          <w:tcPr>
            <w:tcW w:w="2340" w:type="dxa"/>
          </w:tcPr>
          <w:p w14:paraId="24D5D74E" w14:textId="77777777" w:rsidR="00BF2BA2" w:rsidRDefault="00BF2BA2" w:rsidP="00BF2BA2">
            <w:pPr>
              <w:pStyle w:val="BodyTextFirstIndent2"/>
              <w:spacing w:after="120" w:line="240" w:lineRule="auto"/>
              <w:ind w:firstLine="0"/>
              <w:jc w:val="left"/>
            </w:pPr>
            <w:r>
              <w:t>Cynthia King</w:t>
            </w:r>
          </w:p>
          <w:p w14:paraId="5E1A4FC5" w14:textId="77777777" w:rsidR="00E47940" w:rsidRDefault="00E47940" w:rsidP="001F18D7">
            <w:pPr>
              <w:pStyle w:val="BodyTextFirstIndent2"/>
              <w:spacing w:after="120" w:line="240" w:lineRule="auto"/>
              <w:ind w:firstLine="0"/>
              <w:jc w:val="left"/>
            </w:pPr>
          </w:p>
        </w:tc>
      </w:tr>
      <w:tr w:rsidR="002D396F" w14:paraId="49FD1D7B" w14:textId="77777777" w:rsidTr="00B86918">
        <w:tc>
          <w:tcPr>
            <w:tcW w:w="860" w:type="dxa"/>
            <w:shd w:val="clear" w:color="auto" w:fill="auto"/>
          </w:tcPr>
          <w:p w14:paraId="3F1216C3" w14:textId="0DBC28BF" w:rsidR="002D396F" w:rsidRPr="00EB27A6" w:rsidRDefault="001427F1" w:rsidP="005B1274">
            <w:pPr>
              <w:pStyle w:val="BodyTextFirstIndent2"/>
              <w:spacing w:after="120" w:line="240" w:lineRule="auto"/>
              <w:ind w:firstLine="0"/>
              <w:jc w:val="left"/>
              <w:rPr>
                <w:b/>
              </w:rPr>
            </w:pPr>
            <w:r>
              <w:rPr>
                <w:b/>
              </w:rPr>
              <w:t>10</w:t>
            </w:r>
          </w:p>
        </w:tc>
        <w:tc>
          <w:tcPr>
            <w:tcW w:w="1120" w:type="dxa"/>
            <w:shd w:val="clear" w:color="auto" w:fill="auto"/>
          </w:tcPr>
          <w:p w14:paraId="34000E5B" w14:textId="497A5C9B" w:rsidR="002D396F" w:rsidRDefault="0029023F" w:rsidP="005B1274">
            <w:pPr>
              <w:pStyle w:val="BodyTextFirstIndent2"/>
              <w:spacing w:after="120" w:line="240" w:lineRule="auto"/>
              <w:ind w:firstLine="0"/>
              <w:jc w:val="left"/>
            </w:pPr>
            <w:r>
              <w:t>10/31</w:t>
            </w:r>
          </w:p>
        </w:tc>
        <w:tc>
          <w:tcPr>
            <w:tcW w:w="3060" w:type="dxa"/>
            <w:shd w:val="clear" w:color="auto" w:fill="auto"/>
          </w:tcPr>
          <w:p w14:paraId="013398E5" w14:textId="77777777" w:rsidR="00E2377B" w:rsidRDefault="002D396F" w:rsidP="00121BD9">
            <w:pPr>
              <w:pStyle w:val="BodyTextFirstIndent2"/>
              <w:keepNext/>
              <w:keepLines/>
              <w:pageBreakBefore/>
              <w:spacing w:after="120" w:line="240" w:lineRule="auto"/>
              <w:ind w:firstLine="0"/>
              <w:jc w:val="left"/>
            </w:pPr>
            <w:r>
              <w:t xml:space="preserve">The Role of </w:t>
            </w:r>
            <w:r w:rsidR="001D4424">
              <w:t xml:space="preserve">Law in </w:t>
            </w:r>
            <w:r w:rsidR="00E2377B">
              <w:t>Secur</w:t>
            </w:r>
            <w:r w:rsidR="00FF08D7">
              <w:t xml:space="preserve">ities Arbitration </w:t>
            </w:r>
          </w:p>
          <w:p w14:paraId="337D48E2" w14:textId="77777777" w:rsidR="002A53FA" w:rsidRDefault="00FF08D7" w:rsidP="00121BD9">
            <w:pPr>
              <w:pStyle w:val="BodyTextFirstIndent2"/>
              <w:keepNext/>
              <w:keepLines/>
              <w:pageBreakBefore/>
              <w:spacing w:after="120" w:line="240" w:lineRule="auto"/>
              <w:ind w:firstLine="0"/>
              <w:jc w:val="left"/>
            </w:pPr>
            <w:r>
              <w:t>Reg. S-</w:t>
            </w:r>
            <w:r w:rsidR="002A53FA">
              <w:t>P</w:t>
            </w:r>
          </w:p>
          <w:p w14:paraId="6861C8B6" w14:textId="77777777" w:rsidR="008F46D9" w:rsidRDefault="008F46D9" w:rsidP="00121BD9">
            <w:pPr>
              <w:pStyle w:val="BodyTextFirstIndent2"/>
              <w:keepNext/>
              <w:keepLines/>
              <w:pageBreakBefore/>
              <w:spacing w:after="120" w:line="240" w:lineRule="auto"/>
              <w:ind w:firstLine="0"/>
              <w:jc w:val="left"/>
            </w:pPr>
          </w:p>
          <w:p w14:paraId="4F46501A" w14:textId="49781FFF" w:rsidR="002A53FA" w:rsidRDefault="008870B7" w:rsidP="00E11CDB">
            <w:pPr>
              <w:pStyle w:val="BodyTextFirstIndent2"/>
              <w:keepNext/>
              <w:keepLines/>
              <w:pageBreakBefore/>
              <w:spacing w:after="120" w:line="240" w:lineRule="auto"/>
              <w:ind w:firstLine="0"/>
              <w:jc w:val="left"/>
            </w:pPr>
            <w:r>
              <w:t>Role of Errors and Omissions Insurance in securities industry</w:t>
            </w:r>
          </w:p>
        </w:tc>
        <w:tc>
          <w:tcPr>
            <w:tcW w:w="3420" w:type="dxa"/>
            <w:shd w:val="clear" w:color="auto" w:fill="auto"/>
          </w:tcPr>
          <w:p w14:paraId="4641364A" w14:textId="356AD63D" w:rsidR="00C61B94" w:rsidRDefault="00C61B94" w:rsidP="005B1274">
            <w:pPr>
              <w:pStyle w:val="BodyTextFirstIndent2"/>
              <w:spacing w:after="120" w:line="240" w:lineRule="auto"/>
              <w:ind w:firstLine="0"/>
              <w:jc w:val="left"/>
            </w:pPr>
            <w:r>
              <w:t>1183-1189 (Shearson v. McMahon)</w:t>
            </w:r>
          </w:p>
          <w:p w14:paraId="53313929" w14:textId="207061F0" w:rsidR="00EB27A6" w:rsidRPr="00E11CDB" w:rsidRDefault="001A1AF6" w:rsidP="005B1274">
            <w:pPr>
              <w:pStyle w:val="BodyTextFirstIndent2"/>
              <w:spacing w:after="120" w:line="240" w:lineRule="auto"/>
              <w:ind w:firstLine="0"/>
              <w:jc w:val="left"/>
              <w:rPr>
                <w:color w:val="0000FF" w:themeColor="hyperlink"/>
                <w:u w:val="single"/>
              </w:rPr>
            </w:pPr>
            <w:r>
              <w:t xml:space="preserve">Black &amp; Gross, Making It Up </w:t>
            </w:r>
            <w:proofErr w:type="gramStart"/>
            <w:r>
              <w:t>As</w:t>
            </w:r>
            <w:proofErr w:type="gramEnd"/>
            <w:r>
              <w:t xml:space="preserve"> They Go Along,</w:t>
            </w:r>
            <w:r>
              <w:br/>
              <w:t xml:space="preserve">23 Cardozo L.R. 991, </w:t>
            </w:r>
            <w:hyperlink r:id="rId8" w:history="1">
              <w:r w:rsidR="00841D0D" w:rsidRPr="00691CBA">
                <w:rPr>
                  <w:rStyle w:val="Hyperlink"/>
                </w:rPr>
                <w:t>https://papers.ssrn.com/2013/papers.cfm?abstract_id=1032310</w:t>
              </w:r>
            </w:hyperlink>
          </w:p>
          <w:p w14:paraId="226AB95B" w14:textId="77777777" w:rsidR="00841D0D" w:rsidRDefault="00841D0D" w:rsidP="005B1274">
            <w:pPr>
              <w:pStyle w:val="BodyTextFirstIndent2"/>
              <w:spacing w:after="120" w:line="240" w:lineRule="auto"/>
              <w:ind w:firstLine="0"/>
              <w:jc w:val="left"/>
            </w:pPr>
          </w:p>
          <w:p w14:paraId="73559B44" w14:textId="77777777" w:rsidR="00841D0D" w:rsidRDefault="00841D0D" w:rsidP="00EB27A6">
            <w:pPr>
              <w:pStyle w:val="BodyTextFirstIndent2"/>
              <w:spacing w:after="120" w:line="240" w:lineRule="auto"/>
              <w:ind w:firstLine="0"/>
              <w:jc w:val="left"/>
            </w:pPr>
          </w:p>
        </w:tc>
        <w:tc>
          <w:tcPr>
            <w:tcW w:w="2340" w:type="dxa"/>
          </w:tcPr>
          <w:p w14:paraId="6275B947" w14:textId="2AACFBF7" w:rsidR="002D396F" w:rsidRDefault="002D396F" w:rsidP="005B1274">
            <w:pPr>
              <w:pStyle w:val="BodyTextFirstIndent2"/>
              <w:spacing w:after="120" w:line="240" w:lineRule="auto"/>
              <w:ind w:firstLine="0"/>
              <w:jc w:val="left"/>
            </w:pPr>
          </w:p>
          <w:p w14:paraId="36327D49" w14:textId="0EF1B8A2" w:rsidR="00DB5BF0" w:rsidRDefault="00DB5BF0" w:rsidP="005B1274">
            <w:pPr>
              <w:pStyle w:val="BodyTextFirstIndent2"/>
              <w:spacing w:after="120" w:line="240" w:lineRule="auto"/>
              <w:ind w:firstLine="0"/>
              <w:jc w:val="left"/>
            </w:pPr>
          </w:p>
        </w:tc>
      </w:tr>
      <w:tr w:rsidR="00F1331C" w14:paraId="3AB1D94C" w14:textId="77777777" w:rsidTr="00B86918">
        <w:tc>
          <w:tcPr>
            <w:tcW w:w="860" w:type="dxa"/>
            <w:shd w:val="clear" w:color="auto" w:fill="B8CCE4" w:themeFill="accent1" w:themeFillTint="66"/>
          </w:tcPr>
          <w:p w14:paraId="78D353C8" w14:textId="77777777" w:rsidR="00F1331C" w:rsidRDefault="00F1331C" w:rsidP="005B1274">
            <w:pPr>
              <w:pStyle w:val="BodyTextFirstIndent2"/>
              <w:spacing w:after="120" w:line="240" w:lineRule="auto"/>
              <w:ind w:firstLine="0"/>
              <w:jc w:val="left"/>
            </w:pPr>
          </w:p>
        </w:tc>
        <w:tc>
          <w:tcPr>
            <w:tcW w:w="1120" w:type="dxa"/>
            <w:shd w:val="clear" w:color="auto" w:fill="B8CCE4" w:themeFill="accent1" w:themeFillTint="66"/>
          </w:tcPr>
          <w:p w14:paraId="5E421E6F" w14:textId="77777777" w:rsidR="00F1331C" w:rsidRDefault="00F1331C" w:rsidP="005B1274">
            <w:pPr>
              <w:pStyle w:val="BodyTextFirstIndent2"/>
              <w:spacing w:after="120" w:line="240" w:lineRule="auto"/>
              <w:ind w:firstLine="0"/>
              <w:jc w:val="left"/>
            </w:pPr>
          </w:p>
        </w:tc>
        <w:tc>
          <w:tcPr>
            <w:tcW w:w="3060" w:type="dxa"/>
            <w:shd w:val="clear" w:color="auto" w:fill="B8CCE4" w:themeFill="accent1" w:themeFillTint="66"/>
          </w:tcPr>
          <w:p w14:paraId="29966F0D" w14:textId="77777777" w:rsidR="00F1331C" w:rsidRDefault="00F1331C" w:rsidP="005B1274">
            <w:pPr>
              <w:pStyle w:val="BodyTextFirstIndent2"/>
              <w:spacing w:after="120" w:line="240" w:lineRule="auto"/>
              <w:ind w:firstLine="0"/>
              <w:jc w:val="left"/>
            </w:pPr>
          </w:p>
        </w:tc>
        <w:tc>
          <w:tcPr>
            <w:tcW w:w="3420" w:type="dxa"/>
            <w:shd w:val="clear" w:color="auto" w:fill="B8CCE4" w:themeFill="accent1" w:themeFillTint="66"/>
          </w:tcPr>
          <w:p w14:paraId="0B2F20B0" w14:textId="77777777" w:rsidR="00F1331C" w:rsidRDefault="00F1331C" w:rsidP="005B1274">
            <w:pPr>
              <w:pStyle w:val="BodyTextFirstIndent2"/>
              <w:spacing w:after="120" w:line="240" w:lineRule="auto"/>
              <w:ind w:firstLine="0"/>
              <w:jc w:val="left"/>
            </w:pPr>
          </w:p>
        </w:tc>
        <w:tc>
          <w:tcPr>
            <w:tcW w:w="2340" w:type="dxa"/>
            <w:shd w:val="clear" w:color="auto" w:fill="B8CCE4" w:themeFill="accent1" w:themeFillTint="66"/>
          </w:tcPr>
          <w:p w14:paraId="2A05C70C" w14:textId="77777777" w:rsidR="00F1331C" w:rsidRDefault="00F1331C" w:rsidP="005B1274">
            <w:pPr>
              <w:pStyle w:val="BodyTextFirstIndent2"/>
              <w:spacing w:after="120" w:line="240" w:lineRule="auto"/>
              <w:ind w:firstLine="0"/>
              <w:jc w:val="left"/>
            </w:pPr>
          </w:p>
        </w:tc>
      </w:tr>
      <w:tr w:rsidR="00F1331C" w14:paraId="6DC496EB" w14:textId="77777777" w:rsidTr="00B86918">
        <w:tc>
          <w:tcPr>
            <w:tcW w:w="860" w:type="dxa"/>
            <w:shd w:val="clear" w:color="auto" w:fill="FFFFFF" w:themeFill="background1"/>
          </w:tcPr>
          <w:p w14:paraId="53EA0C74" w14:textId="2497ADDB" w:rsidR="00F1331C" w:rsidRPr="007723C0" w:rsidRDefault="00F1331C" w:rsidP="001F18D7">
            <w:pPr>
              <w:pStyle w:val="BodyTextFirstIndent2"/>
              <w:spacing w:after="120" w:line="240" w:lineRule="auto"/>
              <w:ind w:firstLine="0"/>
              <w:jc w:val="left"/>
            </w:pPr>
            <w:r w:rsidRPr="007723C0">
              <w:t>1</w:t>
            </w:r>
            <w:r w:rsidR="001427F1">
              <w:t>1</w:t>
            </w:r>
          </w:p>
        </w:tc>
        <w:tc>
          <w:tcPr>
            <w:tcW w:w="1120" w:type="dxa"/>
            <w:shd w:val="clear" w:color="auto" w:fill="FFFFFF" w:themeFill="background1"/>
          </w:tcPr>
          <w:p w14:paraId="54ECA1CB" w14:textId="1E7C3800" w:rsidR="00F1331C" w:rsidRPr="007723C0" w:rsidRDefault="0029023F" w:rsidP="00095402">
            <w:pPr>
              <w:pStyle w:val="BodyTextFirstIndent2"/>
              <w:spacing w:after="120" w:line="240" w:lineRule="auto"/>
              <w:ind w:firstLine="0"/>
              <w:jc w:val="left"/>
            </w:pPr>
            <w:r>
              <w:t>11/7</w:t>
            </w:r>
          </w:p>
        </w:tc>
        <w:tc>
          <w:tcPr>
            <w:tcW w:w="3060" w:type="dxa"/>
            <w:shd w:val="clear" w:color="auto" w:fill="FFFFFF" w:themeFill="background1"/>
          </w:tcPr>
          <w:p w14:paraId="1507D8EB" w14:textId="77777777" w:rsidR="00F1331C" w:rsidRPr="007723C0" w:rsidRDefault="00F1331C" w:rsidP="005B1274">
            <w:pPr>
              <w:pStyle w:val="BodyTextFirstIndent2"/>
              <w:spacing w:after="120" w:line="240" w:lineRule="auto"/>
              <w:ind w:firstLine="0"/>
              <w:jc w:val="left"/>
            </w:pPr>
            <w:r w:rsidRPr="007723C0">
              <w:t xml:space="preserve">Role of General Counsel to B-D, Ethical Issues </w:t>
            </w:r>
          </w:p>
          <w:p w14:paraId="0D765611" w14:textId="77777777" w:rsidR="00F1331C" w:rsidRDefault="00F1331C" w:rsidP="00383F36">
            <w:pPr>
              <w:pStyle w:val="BodyTextFirstIndent2"/>
              <w:spacing w:after="120" w:line="240" w:lineRule="auto"/>
              <w:ind w:firstLine="0"/>
              <w:jc w:val="left"/>
            </w:pPr>
            <w:r w:rsidRPr="007723C0">
              <w:t>whistleblowers, RPC</w:t>
            </w:r>
          </w:p>
          <w:p w14:paraId="5C224984" w14:textId="674C7EB9" w:rsidR="00DB5BF0" w:rsidRDefault="00C61B94" w:rsidP="00383F36">
            <w:pPr>
              <w:pStyle w:val="BodyTextFirstIndent2"/>
              <w:spacing w:after="120" w:line="240" w:lineRule="auto"/>
              <w:ind w:firstLine="0"/>
              <w:jc w:val="left"/>
            </w:pPr>
            <w:r>
              <w:t xml:space="preserve">Gutfreund </w:t>
            </w:r>
          </w:p>
          <w:p w14:paraId="6C460535" w14:textId="6297A206" w:rsidR="00DB5BF0" w:rsidRDefault="00A523BC" w:rsidP="00383F36">
            <w:pPr>
              <w:pStyle w:val="BodyTextFirstIndent2"/>
              <w:spacing w:after="120" w:line="240" w:lineRule="auto"/>
              <w:ind w:firstLine="0"/>
              <w:jc w:val="left"/>
            </w:pPr>
            <w:r>
              <w:t>Gatekeepers or whistleblowers?</w:t>
            </w:r>
          </w:p>
          <w:p w14:paraId="6E19794B" w14:textId="77777777" w:rsidR="00DB5BF0" w:rsidRDefault="00DB5BF0" w:rsidP="00383F36">
            <w:pPr>
              <w:pStyle w:val="BodyTextFirstIndent2"/>
              <w:spacing w:after="120" w:line="240" w:lineRule="auto"/>
              <w:ind w:firstLine="0"/>
              <w:jc w:val="left"/>
            </w:pPr>
          </w:p>
          <w:p w14:paraId="0F8962FB" w14:textId="77777777" w:rsidR="00DB5BF0" w:rsidRDefault="00DB5BF0" w:rsidP="00383F36">
            <w:pPr>
              <w:pStyle w:val="BodyTextFirstIndent2"/>
              <w:spacing w:after="120" w:line="240" w:lineRule="auto"/>
              <w:ind w:firstLine="0"/>
              <w:jc w:val="left"/>
            </w:pPr>
          </w:p>
          <w:p w14:paraId="0FD094F5" w14:textId="20050D85" w:rsidR="00EB27A6" w:rsidRPr="007723C0" w:rsidRDefault="00EB27A6" w:rsidP="00A523BC">
            <w:pPr>
              <w:pStyle w:val="BodyTextFirstIndent2"/>
              <w:spacing w:after="120" w:line="240" w:lineRule="auto"/>
              <w:ind w:firstLine="0"/>
              <w:jc w:val="left"/>
            </w:pPr>
          </w:p>
        </w:tc>
        <w:tc>
          <w:tcPr>
            <w:tcW w:w="3420" w:type="dxa"/>
            <w:shd w:val="clear" w:color="auto" w:fill="FFFFFF" w:themeFill="background1"/>
          </w:tcPr>
          <w:p w14:paraId="141D1072" w14:textId="24722F8F" w:rsidR="00516F45" w:rsidRDefault="00516F45" w:rsidP="00516F45">
            <w:pPr>
              <w:pStyle w:val="BodyTextFirstIndent2"/>
              <w:spacing w:after="120" w:line="240" w:lineRule="auto"/>
              <w:ind w:firstLine="0"/>
              <w:jc w:val="left"/>
            </w:pPr>
            <w:r w:rsidRPr="007723C0">
              <w:t>4</w:t>
            </w:r>
            <w:r w:rsidR="00A523BC">
              <w:t>46</w:t>
            </w:r>
            <w:r w:rsidRPr="007723C0">
              <w:t>-</w:t>
            </w:r>
            <w:proofErr w:type="gramStart"/>
            <w:r w:rsidRPr="007723C0">
              <w:t>4</w:t>
            </w:r>
            <w:r>
              <w:t>69</w:t>
            </w:r>
            <w:r w:rsidR="003708BD">
              <w:t xml:space="preserve">  </w:t>
            </w:r>
            <w:r w:rsidR="00A523BC">
              <w:t>(</w:t>
            </w:r>
            <w:proofErr w:type="gramEnd"/>
            <w:r w:rsidR="00A523BC">
              <w:t>23)</w:t>
            </w:r>
          </w:p>
          <w:p w14:paraId="1A952F44" w14:textId="77777777" w:rsidR="00C61B94" w:rsidRDefault="00C61B94" w:rsidP="00516F45">
            <w:pPr>
              <w:pStyle w:val="BodyTextFirstIndent2"/>
              <w:spacing w:after="120" w:line="240" w:lineRule="auto"/>
              <w:ind w:firstLine="0"/>
              <w:jc w:val="left"/>
            </w:pPr>
          </w:p>
          <w:p w14:paraId="701C42D3" w14:textId="362F3823" w:rsidR="00C61B94" w:rsidRDefault="00C61B94" w:rsidP="00516F45">
            <w:pPr>
              <w:pStyle w:val="BodyTextFirstIndent2"/>
              <w:spacing w:after="120" w:line="240" w:lineRule="auto"/>
              <w:ind w:firstLine="0"/>
              <w:jc w:val="left"/>
            </w:pPr>
            <w:r>
              <w:t>1162-1169</w:t>
            </w:r>
          </w:p>
          <w:p w14:paraId="5F3966CD" w14:textId="77777777" w:rsidR="003708BD" w:rsidRDefault="003708BD" w:rsidP="00516F45">
            <w:pPr>
              <w:pStyle w:val="BodyTextFirstIndent2"/>
              <w:spacing w:after="120" w:line="240" w:lineRule="auto"/>
              <w:ind w:firstLine="0"/>
              <w:jc w:val="left"/>
            </w:pPr>
          </w:p>
          <w:p w14:paraId="7D86F734" w14:textId="77777777" w:rsidR="00F1331C" w:rsidRDefault="00DB5BF0" w:rsidP="00516F45">
            <w:pPr>
              <w:pStyle w:val="BodyTextFirstIndent2"/>
              <w:spacing w:after="120" w:line="240" w:lineRule="auto"/>
              <w:ind w:firstLine="0"/>
              <w:jc w:val="left"/>
            </w:pPr>
            <w:r>
              <w:t>NYCLA Ethics Opinion 746</w:t>
            </w:r>
          </w:p>
          <w:p w14:paraId="4FEF391E" w14:textId="0E0FAC8A" w:rsidR="00DB5BF0" w:rsidRPr="007723C0" w:rsidRDefault="00DB5BF0" w:rsidP="00516F45">
            <w:pPr>
              <w:pStyle w:val="BodyTextFirstIndent2"/>
              <w:spacing w:after="120" w:line="240" w:lineRule="auto"/>
              <w:ind w:firstLine="0"/>
              <w:jc w:val="left"/>
            </w:pPr>
            <w:r w:rsidRPr="00DB5BF0">
              <w:t>https://www.nycla.org/resource/ethics-opinion/nycla-committee-on-professional-ethics-formal-opinion-746-on-ethical-conflicts-caused-by-lawyers-as-whistleblowers-under-the-dodd-frank-wal-street-reform-act-of-2010/#:~:text=It%20is%20the%20Committee's%20opinion,rise%20to%20a%20conflict%20between</w:t>
            </w:r>
          </w:p>
        </w:tc>
        <w:tc>
          <w:tcPr>
            <w:tcW w:w="2340" w:type="dxa"/>
            <w:shd w:val="clear" w:color="auto" w:fill="FFFFFF" w:themeFill="background1"/>
          </w:tcPr>
          <w:p w14:paraId="7C339F5F" w14:textId="77777777" w:rsidR="00F1331C" w:rsidRDefault="00F1331C" w:rsidP="00383F36">
            <w:pPr>
              <w:pStyle w:val="BodyTextFirstIndent2"/>
              <w:spacing w:after="120" w:line="240" w:lineRule="auto"/>
              <w:ind w:firstLine="0"/>
              <w:jc w:val="left"/>
            </w:pPr>
            <w:r w:rsidRPr="007723C0">
              <w:t>PowerPoint: Whistleblowers</w:t>
            </w:r>
          </w:p>
          <w:p w14:paraId="67C444BC" w14:textId="77777777" w:rsidR="00DB5BF0" w:rsidRDefault="00DB5BF0" w:rsidP="00383F36">
            <w:pPr>
              <w:pStyle w:val="BodyTextFirstIndent2"/>
              <w:spacing w:after="120" w:line="240" w:lineRule="auto"/>
              <w:ind w:firstLine="0"/>
              <w:jc w:val="left"/>
            </w:pPr>
          </w:p>
          <w:p w14:paraId="2DBCE4C6" w14:textId="5188EBAF" w:rsidR="00DB5BF0" w:rsidRDefault="00DB5BF0" w:rsidP="00383F36">
            <w:pPr>
              <w:pStyle w:val="BodyTextFirstIndent2"/>
              <w:spacing w:after="120" w:line="240" w:lineRule="auto"/>
              <w:ind w:firstLine="0"/>
              <w:jc w:val="left"/>
            </w:pPr>
            <w:r>
              <w:t xml:space="preserve">Guest speaker:  Tracy </w:t>
            </w:r>
            <w:proofErr w:type="spellStart"/>
            <w:r>
              <w:t>Sivitz</w:t>
            </w:r>
            <w:proofErr w:type="spellEnd"/>
            <w:r>
              <w:t xml:space="preserve"> SEC</w:t>
            </w:r>
          </w:p>
          <w:p w14:paraId="056D7728" w14:textId="77777777" w:rsidR="003708BD" w:rsidRDefault="003708BD" w:rsidP="00383F36">
            <w:pPr>
              <w:pStyle w:val="BodyTextFirstIndent2"/>
              <w:spacing w:after="120" w:line="240" w:lineRule="auto"/>
              <w:ind w:firstLine="0"/>
              <w:jc w:val="left"/>
            </w:pPr>
          </w:p>
          <w:p w14:paraId="163EDE50" w14:textId="1DF01B25" w:rsidR="003708BD" w:rsidRDefault="003708BD" w:rsidP="00383F36">
            <w:pPr>
              <w:pStyle w:val="BodyTextFirstIndent2"/>
              <w:spacing w:after="120" w:line="240" w:lineRule="auto"/>
              <w:ind w:firstLine="0"/>
              <w:jc w:val="left"/>
            </w:pPr>
            <w:r>
              <w:t>PowerPoint:  Dual-Hatted CCO</w:t>
            </w:r>
          </w:p>
          <w:p w14:paraId="3D78E857" w14:textId="77777777" w:rsidR="00DB5BF0" w:rsidRDefault="00DB5BF0" w:rsidP="00383F36">
            <w:pPr>
              <w:pStyle w:val="BodyTextFirstIndent2"/>
              <w:spacing w:after="120" w:line="240" w:lineRule="auto"/>
              <w:ind w:firstLine="0"/>
              <w:jc w:val="left"/>
            </w:pPr>
          </w:p>
          <w:p w14:paraId="276F23FE" w14:textId="77777777" w:rsidR="00DB5BF0" w:rsidRDefault="00DB5BF0" w:rsidP="00383F36">
            <w:pPr>
              <w:pStyle w:val="BodyTextFirstIndent2"/>
              <w:spacing w:after="120" w:line="240" w:lineRule="auto"/>
              <w:ind w:firstLine="0"/>
              <w:jc w:val="left"/>
            </w:pPr>
          </w:p>
        </w:tc>
      </w:tr>
      <w:tr w:rsidR="00F1331C" w14:paraId="213DCDAF" w14:textId="77777777" w:rsidTr="00B86918">
        <w:tc>
          <w:tcPr>
            <w:tcW w:w="860" w:type="dxa"/>
            <w:shd w:val="clear" w:color="auto" w:fill="auto"/>
          </w:tcPr>
          <w:p w14:paraId="29DEB8CC" w14:textId="0A275744" w:rsidR="00F1331C" w:rsidRDefault="004C6ED4" w:rsidP="001F18D7">
            <w:pPr>
              <w:pStyle w:val="BodyTextFirstIndent2"/>
              <w:spacing w:after="120" w:line="240" w:lineRule="auto"/>
              <w:ind w:firstLine="0"/>
              <w:jc w:val="left"/>
            </w:pPr>
            <w:r>
              <w:t>1</w:t>
            </w:r>
            <w:r w:rsidR="001427F1">
              <w:t>2</w:t>
            </w:r>
          </w:p>
        </w:tc>
        <w:tc>
          <w:tcPr>
            <w:tcW w:w="1120" w:type="dxa"/>
            <w:shd w:val="clear" w:color="auto" w:fill="auto"/>
          </w:tcPr>
          <w:p w14:paraId="606434A9" w14:textId="6A5E5206" w:rsidR="00F1331C" w:rsidRDefault="0029023F" w:rsidP="001F18D7">
            <w:pPr>
              <w:pStyle w:val="BodyTextFirstIndent2"/>
              <w:spacing w:after="120" w:line="240" w:lineRule="auto"/>
              <w:ind w:firstLine="0"/>
              <w:jc w:val="left"/>
            </w:pPr>
            <w:r>
              <w:t>11/14</w:t>
            </w:r>
          </w:p>
        </w:tc>
        <w:tc>
          <w:tcPr>
            <w:tcW w:w="3060" w:type="dxa"/>
            <w:shd w:val="clear" w:color="auto" w:fill="auto"/>
          </w:tcPr>
          <w:p w14:paraId="20FB1690" w14:textId="182339F6" w:rsidR="004C6ED4" w:rsidRDefault="00F0318A" w:rsidP="001F18D7">
            <w:pPr>
              <w:pStyle w:val="BodyTextFirstIndent2"/>
              <w:spacing w:after="120" w:line="240" w:lineRule="auto"/>
              <w:ind w:firstLine="0"/>
              <w:jc w:val="left"/>
            </w:pPr>
            <w:r>
              <w:t>Analysts’ Conflicts</w:t>
            </w:r>
          </w:p>
          <w:p w14:paraId="440806E5" w14:textId="16ADA587" w:rsidR="00605ECC" w:rsidRDefault="00605ECC" w:rsidP="001F18D7">
            <w:pPr>
              <w:pStyle w:val="BodyTextFirstIndent2"/>
              <w:spacing w:after="120" w:line="240" w:lineRule="auto"/>
              <w:ind w:firstLine="0"/>
              <w:jc w:val="left"/>
            </w:pPr>
            <w:r>
              <w:t>Environmental Easements</w:t>
            </w:r>
            <w:r w:rsidR="00B86918">
              <w:t>/SPACs</w:t>
            </w:r>
          </w:p>
          <w:p w14:paraId="77CB2F90" w14:textId="77777777" w:rsidR="00605ECC" w:rsidRDefault="00605ECC" w:rsidP="001F18D7">
            <w:pPr>
              <w:pStyle w:val="BodyTextFirstIndent2"/>
              <w:spacing w:after="120" w:line="240" w:lineRule="auto"/>
              <w:ind w:firstLine="0"/>
              <w:jc w:val="left"/>
            </w:pPr>
            <w:r>
              <w:t>How to read a prospectus/annual report</w:t>
            </w:r>
          </w:p>
          <w:p w14:paraId="38B85227" w14:textId="77777777" w:rsidR="009F3CA9" w:rsidRDefault="009F3CA9" w:rsidP="001F18D7">
            <w:pPr>
              <w:pStyle w:val="BodyTextFirstIndent2"/>
              <w:spacing w:after="120" w:line="240" w:lineRule="auto"/>
              <w:ind w:firstLine="0"/>
              <w:jc w:val="left"/>
            </w:pPr>
          </w:p>
          <w:p w14:paraId="7F452D54" w14:textId="5B223725" w:rsidR="009F3CA9" w:rsidRDefault="009F3CA9" w:rsidP="001F18D7">
            <w:pPr>
              <w:pStyle w:val="BodyTextFirstIndent2"/>
              <w:spacing w:after="120" w:line="240" w:lineRule="auto"/>
              <w:ind w:firstLine="0"/>
              <w:jc w:val="left"/>
            </w:pPr>
            <w:r>
              <w:t>Are ALJs unconstitutional? Are FINRA hearing officers unconstitutional?</w:t>
            </w:r>
          </w:p>
        </w:tc>
        <w:tc>
          <w:tcPr>
            <w:tcW w:w="3420" w:type="dxa"/>
            <w:shd w:val="clear" w:color="auto" w:fill="auto"/>
          </w:tcPr>
          <w:p w14:paraId="55E6ADE1" w14:textId="05D3A05F" w:rsidR="00FE429B" w:rsidRDefault="00FE429B" w:rsidP="001F18D7">
            <w:pPr>
              <w:pStyle w:val="BodyTextFirstIndent2"/>
              <w:spacing w:after="120" w:line="240" w:lineRule="auto"/>
              <w:ind w:firstLine="0"/>
              <w:jc w:val="left"/>
            </w:pPr>
            <w:r w:rsidRPr="00FE429B">
              <w:t>10</w:t>
            </w:r>
            <w:r w:rsidR="00F0318A">
              <w:t>93</w:t>
            </w:r>
            <w:r w:rsidRPr="00FE429B">
              <w:t xml:space="preserve">-1102 </w:t>
            </w:r>
          </w:p>
          <w:p w14:paraId="51ADC71B" w14:textId="7BB8DCDD" w:rsidR="00605ECC" w:rsidRDefault="00605ECC" w:rsidP="00605ECC">
            <w:pPr>
              <w:pStyle w:val="BodyTextFirstIndent2"/>
              <w:spacing w:after="120"/>
              <w:ind w:firstLine="0"/>
            </w:pPr>
            <w:r>
              <w:t xml:space="preserve">SEC v. Binance Press Release </w:t>
            </w:r>
            <w:hyperlink r:id="rId9" w:history="1">
              <w:r w:rsidR="009F3CA9" w:rsidRPr="00BD436C">
                <w:rPr>
                  <w:rStyle w:val="Hyperlink"/>
                </w:rPr>
                <w:t>https://www.sec.gov/news/press-release/2023-101</w:t>
              </w:r>
            </w:hyperlink>
          </w:p>
          <w:p w14:paraId="1BE8EBF9" w14:textId="288189EF" w:rsidR="0054310A" w:rsidRDefault="00556EED" w:rsidP="00E11CDB">
            <w:pPr>
              <w:pStyle w:val="BodyTextFirstIndent2"/>
              <w:spacing w:after="120"/>
              <w:ind w:firstLine="0"/>
            </w:pPr>
            <w:r w:rsidRPr="00556EED">
              <w:t>Jarkesy v. SEC</w:t>
            </w:r>
          </w:p>
        </w:tc>
        <w:tc>
          <w:tcPr>
            <w:tcW w:w="2340" w:type="dxa"/>
            <w:shd w:val="clear" w:color="auto" w:fill="auto"/>
          </w:tcPr>
          <w:p w14:paraId="433FED4C" w14:textId="77777777" w:rsidR="00F1331C" w:rsidRDefault="009F3CA9" w:rsidP="001F18D7">
            <w:pPr>
              <w:pStyle w:val="BodyTextFirstIndent2"/>
              <w:spacing w:after="120" w:line="240" w:lineRule="auto"/>
              <w:ind w:firstLine="0"/>
              <w:jc w:val="left"/>
            </w:pPr>
            <w:r>
              <w:t>PowerPoints:</w:t>
            </w:r>
          </w:p>
          <w:p w14:paraId="191E3F86" w14:textId="0ED365A6" w:rsidR="009F3CA9" w:rsidRDefault="002F548F" w:rsidP="001F18D7">
            <w:pPr>
              <w:pStyle w:val="BodyTextFirstIndent2"/>
              <w:spacing w:after="120" w:line="240" w:lineRule="auto"/>
              <w:ind w:firstLine="0"/>
              <w:jc w:val="left"/>
            </w:pPr>
            <w:r>
              <w:t xml:space="preserve">SEC v. </w:t>
            </w:r>
            <w:r w:rsidR="009F3CA9">
              <w:t>Binance</w:t>
            </w:r>
          </w:p>
          <w:p w14:paraId="01D4F441" w14:textId="77777777" w:rsidR="00556EED" w:rsidRDefault="00556EED" w:rsidP="001F18D7">
            <w:pPr>
              <w:pStyle w:val="BodyTextFirstIndent2"/>
              <w:spacing w:after="120" w:line="240" w:lineRule="auto"/>
              <w:ind w:firstLine="0"/>
              <w:jc w:val="left"/>
            </w:pPr>
          </w:p>
          <w:p w14:paraId="51B17E0E" w14:textId="5B7D2065" w:rsidR="009F3CA9" w:rsidRDefault="009F3CA9" w:rsidP="001F18D7">
            <w:pPr>
              <w:pStyle w:val="BodyTextFirstIndent2"/>
              <w:spacing w:after="120" w:line="240" w:lineRule="auto"/>
              <w:ind w:firstLine="0"/>
              <w:jc w:val="left"/>
            </w:pPr>
            <w:r>
              <w:t>Are FINRA disciplinary proceedings unconstitutional?</w:t>
            </w:r>
          </w:p>
        </w:tc>
      </w:tr>
      <w:tr w:rsidR="004C6ED4" w14:paraId="57569105" w14:textId="77777777" w:rsidTr="00B86918">
        <w:tc>
          <w:tcPr>
            <w:tcW w:w="860" w:type="dxa"/>
            <w:shd w:val="clear" w:color="auto" w:fill="B8CCE4" w:themeFill="accent1" w:themeFillTint="66"/>
          </w:tcPr>
          <w:p w14:paraId="6D22A309" w14:textId="40A3CC40" w:rsidR="004C6ED4" w:rsidRDefault="00B86918" w:rsidP="001F18D7">
            <w:pPr>
              <w:pStyle w:val="BodyTextFirstIndent2"/>
              <w:spacing w:after="120" w:line="240" w:lineRule="auto"/>
              <w:ind w:firstLine="0"/>
              <w:jc w:val="left"/>
            </w:pPr>
            <w:r>
              <w:t>13</w:t>
            </w:r>
          </w:p>
        </w:tc>
        <w:tc>
          <w:tcPr>
            <w:tcW w:w="1120" w:type="dxa"/>
            <w:shd w:val="clear" w:color="auto" w:fill="B8CCE4" w:themeFill="accent1" w:themeFillTint="66"/>
          </w:tcPr>
          <w:p w14:paraId="64D5701A" w14:textId="10D92EDA" w:rsidR="004C6ED4" w:rsidRDefault="0029023F" w:rsidP="001F18D7">
            <w:pPr>
              <w:pStyle w:val="BodyTextFirstIndent2"/>
              <w:spacing w:after="120" w:line="240" w:lineRule="auto"/>
              <w:ind w:firstLine="0"/>
              <w:jc w:val="left"/>
            </w:pPr>
            <w:r>
              <w:t>11/21</w:t>
            </w:r>
          </w:p>
        </w:tc>
        <w:tc>
          <w:tcPr>
            <w:tcW w:w="3060" w:type="dxa"/>
            <w:shd w:val="clear" w:color="auto" w:fill="B8CCE4" w:themeFill="accent1" w:themeFillTint="66"/>
          </w:tcPr>
          <w:p w14:paraId="4FD9A1F2" w14:textId="5B88F71B" w:rsidR="00351AA8" w:rsidRDefault="00351AA8" w:rsidP="001F18D7">
            <w:pPr>
              <w:pStyle w:val="BodyTextFirstIndent2"/>
              <w:spacing w:after="120" w:line="240" w:lineRule="auto"/>
              <w:ind w:firstLine="0"/>
              <w:jc w:val="left"/>
            </w:pPr>
            <w:r>
              <w:t>Last class:</w:t>
            </w:r>
          </w:p>
          <w:p w14:paraId="285BE15B" w14:textId="74147501" w:rsidR="004C6ED4" w:rsidRDefault="003270CB" w:rsidP="001F18D7">
            <w:pPr>
              <w:pStyle w:val="BodyTextFirstIndent2"/>
              <w:spacing w:after="120" w:line="240" w:lineRule="auto"/>
              <w:ind w:firstLine="0"/>
              <w:jc w:val="left"/>
            </w:pPr>
            <w:r>
              <w:t>Questions and Review</w:t>
            </w:r>
          </w:p>
          <w:p w14:paraId="27D5D34D" w14:textId="77777777" w:rsidR="00850FBD" w:rsidRDefault="00850FBD" w:rsidP="00850FBD">
            <w:pPr>
              <w:pStyle w:val="BodyTextFirstIndent2"/>
              <w:spacing w:after="120" w:line="240" w:lineRule="auto"/>
              <w:ind w:firstLine="0"/>
              <w:jc w:val="left"/>
            </w:pPr>
            <w:r>
              <w:t>Litigation Reform:  PSLRA and SLUSA</w:t>
            </w:r>
          </w:p>
          <w:p w14:paraId="61E10B95" w14:textId="77777777" w:rsidR="00850FBD" w:rsidRDefault="00850FBD" w:rsidP="001F18D7">
            <w:pPr>
              <w:pStyle w:val="BodyTextFirstIndent2"/>
              <w:spacing w:after="120" w:line="240" w:lineRule="auto"/>
              <w:ind w:firstLine="0"/>
              <w:jc w:val="left"/>
            </w:pPr>
          </w:p>
          <w:p w14:paraId="177890AB" w14:textId="211B85D0" w:rsidR="00AD0C67" w:rsidRDefault="003708BD" w:rsidP="001F18D7">
            <w:pPr>
              <w:pStyle w:val="BodyTextFirstIndent2"/>
              <w:spacing w:after="120" w:line="240" w:lineRule="auto"/>
              <w:ind w:firstLine="0"/>
              <w:jc w:val="left"/>
            </w:pPr>
            <w:r>
              <w:t>Cybersecurity</w:t>
            </w:r>
          </w:p>
          <w:p w14:paraId="080A1FA1" w14:textId="73B76C02" w:rsidR="003708BD" w:rsidRDefault="003708BD" w:rsidP="001F18D7">
            <w:pPr>
              <w:pStyle w:val="BodyTextFirstIndent2"/>
              <w:spacing w:after="120" w:line="240" w:lineRule="auto"/>
              <w:ind w:firstLine="0"/>
              <w:jc w:val="left"/>
            </w:pPr>
            <w:r>
              <w:t>NY DFS Regulations</w:t>
            </w:r>
          </w:p>
          <w:p w14:paraId="6B3A7B92" w14:textId="1F4E0BAC" w:rsidR="003708BD" w:rsidRDefault="003708BD" w:rsidP="001F18D7">
            <w:pPr>
              <w:pStyle w:val="BodyTextFirstIndent2"/>
              <w:spacing w:after="120" w:line="240" w:lineRule="auto"/>
              <w:ind w:firstLine="0"/>
              <w:jc w:val="left"/>
            </w:pPr>
          </w:p>
        </w:tc>
        <w:tc>
          <w:tcPr>
            <w:tcW w:w="3420" w:type="dxa"/>
            <w:shd w:val="clear" w:color="auto" w:fill="B8CCE4" w:themeFill="accent1" w:themeFillTint="66"/>
          </w:tcPr>
          <w:p w14:paraId="707C7E23" w14:textId="77777777" w:rsidR="004C6ED4" w:rsidRDefault="004C6ED4" w:rsidP="001F18D7">
            <w:pPr>
              <w:pStyle w:val="BodyTextFirstIndent2"/>
              <w:spacing w:after="120" w:line="240" w:lineRule="auto"/>
              <w:ind w:firstLine="0"/>
              <w:jc w:val="left"/>
            </w:pPr>
          </w:p>
          <w:p w14:paraId="112C36CF" w14:textId="77777777" w:rsidR="00850FBD" w:rsidRDefault="00850FBD" w:rsidP="00850FBD">
            <w:pPr>
              <w:pStyle w:val="BodyTextFirstIndent2"/>
              <w:spacing w:after="120" w:line="240" w:lineRule="auto"/>
              <w:ind w:firstLine="0"/>
              <w:jc w:val="left"/>
            </w:pPr>
            <w:r>
              <w:t>637-654</w:t>
            </w:r>
          </w:p>
          <w:p w14:paraId="3DA37FFB" w14:textId="77777777" w:rsidR="00850FBD" w:rsidRDefault="00850FBD" w:rsidP="001F18D7">
            <w:pPr>
              <w:pStyle w:val="BodyTextFirstIndent2"/>
              <w:spacing w:after="120" w:line="240" w:lineRule="auto"/>
              <w:ind w:firstLine="0"/>
              <w:jc w:val="left"/>
            </w:pPr>
          </w:p>
        </w:tc>
        <w:tc>
          <w:tcPr>
            <w:tcW w:w="2340" w:type="dxa"/>
            <w:shd w:val="clear" w:color="auto" w:fill="B8CCE4" w:themeFill="accent1" w:themeFillTint="66"/>
          </w:tcPr>
          <w:p w14:paraId="4471A869" w14:textId="3F287A89" w:rsidR="004C6ED4" w:rsidRDefault="004C6ED4" w:rsidP="001F18D7">
            <w:pPr>
              <w:pStyle w:val="BodyTextFirstIndent2"/>
              <w:spacing w:after="120" w:line="240" w:lineRule="auto"/>
              <w:ind w:firstLine="0"/>
              <w:jc w:val="left"/>
            </w:pPr>
          </w:p>
        </w:tc>
      </w:tr>
      <w:tr w:rsidR="001427F1" w14:paraId="6A9072A3" w14:textId="77777777" w:rsidTr="00B86918">
        <w:tc>
          <w:tcPr>
            <w:tcW w:w="860" w:type="dxa"/>
            <w:shd w:val="clear" w:color="auto" w:fill="B8CCE4" w:themeFill="accent1" w:themeFillTint="66"/>
          </w:tcPr>
          <w:p w14:paraId="4003B1F8" w14:textId="224ECA93" w:rsidR="001427F1" w:rsidRDefault="001427F1" w:rsidP="001F18D7">
            <w:pPr>
              <w:pStyle w:val="BodyTextFirstIndent2"/>
              <w:spacing w:after="120" w:line="240" w:lineRule="auto"/>
              <w:ind w:firstLine="0"/>
              <w:jc w:val="left"/>
            </w:pPr>
          </w:p>
        </w:tc>
        <w:tc>
          <w:tcPr>
            <w:tcW w:w="1120" w:type="dxa"/>
            <w:shd w:val="clear" w:color="auto" w:fill="B8CCE4" w:themeFill="accent1" w:themeFillTint="66"/>
          </w:tcPr>
          <w:p w14:paraId="68CF54C0" w14:textId="5FD8FC2A" w:rsidR="001427F1" w:rsidRDefault="001427F1" w:rsidP="001F18D7">
            <w:pPr>
              <w:pStyle w:val="BodyTextFirstIndent2"/>
              <w:spacing w:after="120" w:line="240" w:lineRule="auto"/>
              <w:ind w:firstLine="0"/>
              <w:jc w:val="left"/>
            </w:pPr>
          </w:p>
        </w:tc>
        <w:tc>
          <w:tcPr>
            <w:tcW w:w="3060" w:type="dxa"/>
            <w:shd w:val="clear" w:color="auto" w:fill="B8CCE4" w:themeFill="accent1" w:themeFillTint="66"/>
          </w:tcPr>
          <w:p w14:paraId="74F34BE6" w14:textId="51811394" w:rsidR="001427F1" w:rsidRDefault="001427F1" w:rsidP="001F18D7">
            <w:pPr>
              <w:pStyle w:val="BodyTextFirstIndent2"/>
              <w:spacing w:after="120" w:line="240" w:lineRule="auto"/>
              <w:ind w:firstLine="0"/>
              <w:jc w:val="left"/>
            </w:pPr>
          </w:p>
        </w:tc>
        <w:tc>
          <w:tcPr>
            <w:tcW w:w="3420" w:type="dxa"/>
            <w:shd w:val="clear" w:color="auto" w:fill="B8CCE4" w:themeFill="accent1" w:themeFillTint="66"/>
          </w:tcPr>
          <w:p w14:paraId="34B3A3F3" w14:textId="77777777" w:rsidR="001427F1" w:rsidRDefault="001427F1" w:rsidP="001F18D7">
            <w:pPr>
              <w:pStyle w:val="BodyTextFirstIndent2"/>
              <w:spacing w:after="120" w:line="240" w:lineRule="auto"/>
              <w:ind w:firstLine="0"/>
              <w:jc w:val="left"/>
            </w:pPr>
          </w:p>
        </w:tc>
        <w:tc>
          <w:tcPr>
            <w:tcW w:w="2340" w:type="dxa"/>
            <w:shd w:val="clear" w:color="auto" w:fill="B8CCE4" w:themeFill="accent1" w:themeFillTint="66"/>
          </w:tcPr>
          <w:p w14:paraId="6AA5829B" w14:textId="77777777" w:rsidR="001427F1" w:rsidRDefault="001427F1" w:rsidP="001F18D7">
            <w:pPr>
              <w:pStyle w:val="BodyTextFirstIndent2"/>
              <w:spacing w:after="120" w:line="240" w:lineRule="auto"/>
              <w:ind w:firstLine="0"/>
              <w:jc w:val="left"/>
            </w:pPr>
          </w:p>
        </w:tc>
      </w:tr>
      <w:tr w:rsidR="00F41683" w14:paraId="6EF19F67" w14:textId="77777777" w:rsidTr="00B86918">
        <w:tc>
          <w:tcPr>
            <w:tcW w:w="860" w:type="dxa"/>
            <w:shd w:val="clear" w:color="auto" w:fill="auto"/>
          </w:tcPr>
          <w:p w14:paraId="3A7614FD" w14:textId="77777777" w:rsidR="00F41683" w:rsidRDefault="00F41683" w:rsidP="001F18D7">
            <w:pPr>
              <w:pStyle w:val="BodyTextFirstIndent2"/>
              <w:spacing w:after="120" w:line="240" w:lineRule="auto"/>
              <w:ind w:firstLine="0"/>
              <w:jc w:val="left"/>
            </w:pPr>
          </w:p>
        </w:tc>
        <w:tc>
          <w:tcPr>
            <w:tcW w:w="1120" w:type="dxa"/>
            <w:shd w:val="clear" w:color="auto" w:fill="auto"/>
          </w:tcPr>
          <w:p w14:paraId="5F0FEEDF" w14:textId="1074C07B" w:rsidR="00F41683" w:rsidRDefault="00405DDA" w:rsidP="001F18D7">
            <w:pPr>
              <w:pStyle w:val="BodyTextFirstIndent2"/>
              <w:spacing w:after="120" w:line="240" w:lineRule="auto"/>
              <w:ind w:firstLine="0"/>
              <w:jc w:val="left"/>
            </w:pPr>
            <w:r>
              <w:t>12/6-12/18</w:t>
            </w:r>
          </w:p>
        </w:tc>
        <w:tc>
          <w:tcPr>
            <w:tcW w:w="3060" w:type="dxa"/>
            <w:shd w:val="clear" w:color="auto" w:fill="auto"/>
          </w:tcPr>
          <w:p w14:paraId="014BCD5D" w14:textId="7B56C0A4" w:rsidR="00F41683" w:rsidRDefault="00F41683" w:rsidP="001F18D7">
            <w:pPr>
              <w:pStyle w:val="BodyTextFirstIndent2"/>
              <w:spacing w:after="120" w:line="240" w:lineRule="auto"/>
              <w:ind w:firstLine="0"/>
              <w:jc w:val="left"/>
            </w:pPr>
            <w:r>
              <w:t>Final Exam Period</w:t>
            </w:r>
          </w:p>
        </w:tc>
        <w:tc>
          <w:tcPr>
            <w:tcW w:w="3420" w:type="dxa"/>
            <w:shd w:val="clear" w:color="auto" w:fill="auto"/>
          </w:tcPr>
          <w:p w14:paraId="54120EEC" w14:textId="77777777" w:rsidR="00F41683" w:rsidRDefault="00F41683" w:rsidP="001F18D7">
            <w:pPr>
              <w:pStyle w:val="BodyTextFirstIndent2"/>
              <w:spacing w:after="120" w:line="240" w:lineRule="auto"/>
              <w:ind w:firstLine="0"/>
              <w:jc w:val="left"/>
            </w:pPr>
          </w:p>
        </w:tc>
        <w:tc>
          <w:tcPr>
            <w:tcW w:w="2340" w:type="dxa"/>
            <w:shd w:val="clear" w:color="auto" w:fill="auto"/>
          </w:tcPr>
          <w:p w14:paraId="53D35F08" w14:textId="77777777" w:rsidR="00F41683" w:rsidRDefault="00F41683" w:rsidP="001F18D7">
            <w:pPr>
              <w:pStyle w:val="BodyTextFirstIndent2"/>
              <w:spacing w:after="120" w:line="240" w:lineRule="auto"/>
              <w:ind w:firstLine="0"/>
              <w:jc w:val="left"/>
            </w:pPr>
          </w:p>
        </w:tc>
      </w:tr>
    </w:tbl>
    <w:p w14:paraId="71EB7BC4" w14:textId="77777777" w:rsidR="007D1FD7" w:rsidRDefault="007D1FD7" w:rsidP="006E0CF7">
      <w:pPr>
        <w:pStyle w:val="Header"/>
        <w:jc w:val="left"/>
      </w:pPr>
    </w:p>
    <w:p w14:paraId="71F7F2D4" w14:textId="77777777" w:rsidR="009E5097" w:rsidRDefault="009E5097" w:rsidP="006E0CF7">
      <w:pPr>
        <w:pStyle w:val="Header"/>
        <w:jc w:val="left"/>
      </w:pPr>
    </w:p>
    <w:p w14:paraId="502BAD1F" w14:textId="77777777" w:rsidR="00C30EB2" w:rsidRDefault="00C30EB2" w:rsidP="006E0CF7">
      <w:pPr>
        <w:pStyle w:val="Header"/>
        <w:jc w:val="left"/>
      </w:pPr>
    </w:p>
    <w:p w14:paraId="369D4CB6" w14:textId="26E9EF81" w:rsidR="00C30EB2" w:rsidRDefault="00C30EB2" w:rsidP="00C30EB2">
      <w:pPr>
        <w:pStyle w:val="BodyTextFirstIndent2"/>
      </w:pPr>
      <w:r>
        <w:t>This course will have a 48 hour open book take home exam.  Class Participation is encouraged and will count towards 15 % of final grades.</w:t>
      </w:r>
    </w:p>
    <w:p w14:paraId="4B94C2C6" w14:textId="7D13E1DD" w:rsidR="00C30EB2" w:rsidRDefault="00C30EB2" w:rsidP="00C30EB2">
      <w:pPr>
        <w:pStyle w:val="BodyTextFirstIndent2"/>
      </w:pPr>
      <w:r>
        <w:t>Attendance policy:  Unexcused absences are not permitted.  One excused absence is permitted.</w:t>
      </w:r>
      <w:r w:rsidR="007E585C">
        <w:t xml:space="preserve"> </w:t>
      </w:r>
      <w:r>
        <w:t xml:space="preserve">Laptops are permitted in class. </w:t>
      </w:r>
    </w:p>
    <w:p w14:paraId="600ADD11" w14:textId="77777777" w:rsidR="00663EDE" w:rsidRDefault="00663EDE" w:rsidP="00C30EB2">
      <w:pPr>
        <w:pStyle w:val="Header"/>
        <w:jc w:val="left"/>
      </w:pPr>
    </w:p>
    <w:p w14:paraId="25010BE9" w14:textId="0F252AB3" w:rsidR="00C30EB2" w:rsidRDefault="00C30EB2" w:rsidP="00C30EB2">
      <w:pPr>
        <w:pStyle w:val="Header"/>
        <w:jc w:val="left"/>
      </w:pPr>
      <w:r>
        <w:t>Course objectives and Learning Outcomes:</w:t>
      </w:r>
    </w:p>
    <w:p w14:paraId="3432A54A" w14:textId="77777777" w:rsidR="00C30EB2" w:rsidRDefault="00C30EB2" w:rsidP="00C30EB2">
      <w:pPr>
        <w:pStyle w:val="Header"/>
        <w:jc w:val="left"/>
      </w:pPr>
    </w:p>
    <w:p w14:paraId="15FBD1D7" w14:textId="77777777" w:rsidR="00C30EB2" w:rsidRDefault="00C30EB2" w:rsidP="00C30EB2">
      <w:pPr>
        <w:pStyle w:val="Header"/>
        <w:jc w:val="left"/>
      </w:pPr>
      <w:r>
        <w:t>1. Understand basic concepts of “what is a security,” insider trading, exemption from registration, SEC investigations, the role of the Financial Industry Regulatory Authority (FINRA).</w:t>
      </w:r>
    </w:p>
    <w:p w14:paraId="78ADE34B" w14:textId="77777777" w:rsidR="00C30EB2" w:rsidRDefault="00C30EB2" w:rsidP="00C30EB2">
      <w:pPr>
        <w:pStyle w:val="Header"/>
        <w:jc w:val="left"/>
      </w:pPr>
    </w:p>
    <w:p w14:paraId="41F5AB4F" w14:textId="5C2F2B95" w:rsidR="00C30EB2" w:rsidRDefault="00C30EB2" w:rsidP="00C30EB2">
      <w:pPr>
        <w:pStyle w:val="Header"/>
        <w:jc w:val="left"/>
      </w:pPr>
      <w:r>
        <w:t>2. Address the continually-evolving nature and regul</w:t>
      </w:r>
      <w:r w:rsidR="00293634">
        <w:t>ation of new products, such as B</w:t>
      </w:r>
      <w:r>
        <w:t>itcoin, futures, real estate investment trusts, exchange traded funds, swaps and derivatives.</w:t>
      </w:r>
    </w:p>
    <w:p w14:paraId="08B9C14E" w14:textId="77777777" w:rsidR="00C30EB2" w:rsidRDefault="00C30EB2" w:rsidP="00C30EB2">
      <w:pPr>
        <w:pStyle w:val="Header"/>
        <w:jc w:val="left"/>
      </w:pPr>
    </w:p>
    <w:p w14:paraId="59398B60" w14:textId="77777777" w:rsidR="00C30EB2" w:rsidRDefault="00C30EB2" w:rsidP="00C30EB2">
      <w:pPr>
        <w:pStyle w:val="Header"/>
        <w:jc w:val="left"/>
      </w:pPr>
      <w:r>
        <w:t>3. Analyze major historic events in the securities markets, such as the Great Depression, the Great Recession, the rise and fall of Enron Corporation, the collapse of Lehman Brothers and AIG, the Bernie Madoff Ponzi scheme, and the impact of these events on the development of securities laws.</w:t>
      </w:r>
    </w:p>
    <w:p w14:paraId="0FA4CB01" w14:textId="77777777" w:rsidR="00C30EB2" w:rsidRDefault="00C30EB2" w:rsidP="00C30EB2">
      <w:pPr>
        <w:pStyle w:val="Header"/>
        <w:jc w:val="left"/>
      </w:pPr>
    </w:p>
    <w:p w14:paraId="400C92C5" w14:textId="77777777" w:rsidR="00C30EB2" w:rsidRDefault="00C30EB2" w:rsidP="00C30EB2">
      <w:pPr>
        <w:pStyle w:val="Header"/>
        <w:jc w:val="left"/>
      </w:pPr>
      <w:r>
        <w:t xml:space="preserve">4. Analyze the role of lawyers in major Wall Street scandals, particularly Enron, and the responsibility of lawyers as gatekeepers and whistleblowers.  Examine how the failure of </w:t>
      </w:r>
      <w:r>
        <w:lastRenderedPageBreak/>
        <w:t xml:space="preserve">Enron’s lawyers to prevent their client’s massive fraud led to new legal ethics rules by the Securities and Exchange Commission and the American Bar Association. </w:t>
      </w:r>
    </w:p>
    <w:p w14:paraId="3D676C41" w14:textId="77777777" w:rsidR="00C30EB2" w:rsidRDefault="00C30EB2" w:rsidP="00C30EB2">
      <w:pPr>
        <w:pStyle w:val="Header"/>
        <w:jc w:val="left"/>
      </w:pPr>
    </w:p>
    <w:p w14:paraId="43B0C78A" w14:textId="77777777" w:rsidR="00C30EB2" w:rsidRDefault="00C30EB2" w:rsidP="00C30EB2">
      <w:pPr>
        <w:pStyle w:val="Header"/>
        <w:jc w:val="left"/>
      </w:pPr>
      <w:r>
        <w:t>5.  Understand how securities arbitration works, the competing interests of the investors’ bar and the broker-dealer bar, and the role of mediation and insurance in resolving arbitration disputes.</w:t>
      </w:r>
      <w:r w:rsidR="0004019E">
        <w:t xml:space="preserve">  Analyze the differing standards applied to broker-dealers, including the suitability rule, know your customer, fiduciary standard and SEC Regulation Best Interest. </w:t>
      </w:r>
      <w:r>
        <w:t xml:space="preserve"> </w:t>
      </w:r>
    </w:p>
    <w:p w14:paraId="6FE3CF5F" w14:textId="77777777" w:rsidR="00C30EB2" w:rsidRDefault="00C30EB2" w:rsidP="00C30EB2">
      <w:pPr>
        <w:pStyle w:val="Header"/>
        <w:jc w:val="left"/>
      </w:pPr>
    </w:p>
    <w:p w14:paraId="11977257" w14:textId="77777777" w:rsidR="00C30EB2" w:rsidRDefault="00C30EB2" w:rsidP="00C30EB2">
      <w:pPr>
        <w:pStyle w:val="Header"/>
        <w:jc w:val="left"/>
      </w:pPr>
      <w:r>
        <w:t>6. Help students understand the professional responsibility of lawyers in counseling financial institutions and in identifying ethical conflicts on Wall Street—and avoiding professional liability.</w:t>
      </w:r>
    </w:p>
    <w:p w14:paraId="7A0A2CC6" w14:textId="77777777" w:rsidR="00C30EB2" w:rsidRDefault="00C30EB2" w:rsidP="00C30EB2">
      <w:pPr>
        <w:pStyle w:val="Header"/>
        <w:jc w:val="left"/>
      </w:pPr>
    </w:p>
    <w:p w14:paraId="73649878" w14:textId="77777777" w:rsidR="00C30EB2" w:rsidRDefault="00C30EB2" w:rsidP="00C30EB2">
      <w:pPr>
        <w:pStyle w:val="Header"/>
        <w:jc w:val="left"/>
      </w:pPr>
      <w:r>
        <w:t xml:space="preserve">7.  Engage the students to fully participate in class discussions through the use of film excerpts </w:t>
      </w:r>
    </w:p>
    <w:p w14:paraId="753A2D33" w14:textId="77777777" w:rsidR="00C30EB2" w:rsidRDefault="00C30EB2" w:rsidP="00C30EB2">
      <w:pPr>
        <w:pStyle w:val="Header"/>
        <w:jc w:val="left"/>
      </w:pPr>
      <w:r>
        <w:t>from movies (such as Wall Street, Boiler Room, Enron: The Smartest Guys in The Room, Margin Call, Inside Job) and to apply and share their own experiences to class discussion.</w:t>
      </w:r>
    </w:p>
    <w:p w14:paraId="69785DDD" w14:textId="77777777" w:rsidR="00F1331C" w:rsidRDefault="00F1331C" w:rsidP="00064722">
      <w:pPr>
        <w:pStyle w:val="BodyTextFirstIndent2"/>
        <w:ind w:firstLine="0"/>
      </w:pPr>
    </w:p>
    <w:sectPr w:rsidR="00F1331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C2F6" w14:textId="77777777" w:rsidR="0081096D" w:rsidRDefault="0081096D" w:rsidP="001C1D17">
      <w:r>
        <w:separator/>
      </w:r>
    </w:p>
  </w:endnote>
  <w:endnote w:type="continuationSeparator" w:id="0">
    <w:p w14:paraId="56EC941F" w14:textId="77777777" w:rsidR="0081096D" w:rsidRDefault="0081096D" w:rsidP="001C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406129"/>
      <w:docPartObj>
        <w:docPartGallery w:val="Page Numbers (Bottom of Page)"/>
        <w:docPartUnique/>
      </w:docPartObj>
    </w:sdtPr>
    <w:sdtEndPr>
      <w:rPr>
        <w:noProof/>
      </w:rPr>
    </w:sdtEndPr>
    <w:sdtContent>
      <w:p w14:paraId="393EC0D0" w14:textId="77777777" w:rsidR="007E585C" w:rsidRDefault="007E585C">
        <w:pPr>
          <w:pStyle w:val="Footer"/>
          <w:jc w:val="center"/>
        </w:pPr>
        <w:r>
          <w:fldChar w:fldCharType="begin"/>
        </w:r>
        <w:r>
          <w:instrText xml:space="preserve"> PAGE   \* MERGEFORMAT </w:instrText>
        </w:r>
        <w:r>
          <w:fldChar w:fldCharType="separate"/>
        </w:r>
        <w:r w:rsidR="005E5EC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0B41" w14:textId="77777777" w:rsidR="0081096D" w:rsidRDefault="0081096D" w:rsidP="001C1D17">
      <w:r>
        <w:separator/>
      </w:r>
    </w:p>
  </w:footnote>
  <w:footnote w:type="continuationSeparator" w:id="0">
    <w:p w14:paraId="76A24D48" w14:textId="77777777" w:rsidR="0081096D" w:rsidRDefault="0081096D" w:rsidP="001C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D8A5" w14:textId="77777777" w:rsidR="00A8459A" w:rsidRDefault="00DA668F" w:rsidP="00A8459A">
    <w:pPr>
      <w:pStyle w:val="Header"/>
      <w:rPr>
        <w:bCs/>
        <w:sz w:val="32"/>
      </w:rPr>
    </w:pPr>
    <w:r>
      <w:rPr>
        <w:b/>
        <w:sz w:val="32"/>
      </w:rPr>
      <w:tab/>
    </w:r>
    <w:r w:rsidR="00DD76E3" w:rsidRPr="00293634">
      <w:rPr>
        <w:b/>
        <w:sz w:val="32"/>
      </w:rPr>
      <w:t>SYLLABUS</w:t>
    </w:r>
    <w:r w:rsidR="00DA7357">
      <w:rPr>
        <w:b/>
        <w:sz w:val="32"/>
      </w:rPr>
      <w:t xml:space="preserve"> </w:t>
    </w:r>
    <w:r w:rsidR="00DA7357" w:rsidRPr="00DA7357">
      <w:rPr>
        <w:bCs/>
        <w:sz w:val="32"/>
      </w:rPr>
      <w:t xml:space="preserve"> </w:t>
    </w:r>
  </w:p>
  <w:p w14:paraId="1C0700B4" w14:textId="24B3EB90" w:rsidR="00530DA2" w:rsidRDefault="00A8459A" w:rsidP="00A8459A">
    <w:pPr>
      <w:pStyle w:val="Header"/>
    </w:pPr>
    <w:r>
      <w:rPr>
        <w:bCs/>
        <w:sz w:val="32"/>
      </w:rPr>
      <w:tab/>
    </w:r>
    <w:r w:rsidR="774889AA">
      <w:t>Broker-Deal</w:t>
    </w:r>
    <w:r w:rsidR="006876E7">
      <w:t xml:space="preserve">er </w:t>
    </w:r>
    <w:r w:rsidR="00DA7357">
      <w:t xml:space="preserve">and Securities </w:t>
    </w:r>
    <w:r w:rsidR="006876E7">
      <w:t xml:space="preserve">Regulation/CRN </w:t>
    </w:r>
    <w:r w:rsidR="00DA7357">
      <w:t>4821</w:t>
    </w:r>
    <w:r w:rsidR="00DA668F">
      <w:t xml:space="preserve">5 </w:t>
    </w:r>
    <w:r w:rsidR="000506CB">
      <w:t>Fall</w:t>
    </w:r>
    <w:r w:rsidR="00DA668F">
      <w:t xml:space="preserve"> 2026</w:t>
    </w:r>
  </w:p>
  <w:p w14:paraId="53B2C478" w14:textId="77777777" w:rsidR="001C1D17" w:rsidRDefault="00DD76E3" w:rsidP="001C1D17">
    <w:pPr>
      <w:pStyle w:val="Header"/>
      <w:jc w:val="center"/>
    </w:pPr>
    <w:r>
      <w:t xml:space="preserve">Adj. </w:t>
    </w:r>
    <w:r w:rsidR="001C1D17">
      <w:t>Professor Barry Temkin</w:t>
    </w:r>
  </w:p>
  <w:p w14:paraId="770478BC" w14:textId="3BE7E8D9" w:rsidR="0028255C" w:rsidRDefault="00BE0683" w:rsidP="001C1D17">
    <w:pPr>
      <w:pStyle w:val="Header"/>
      <w:jc w:val="center"/>
    </w:pPr>
    <w:hyperlink r:id="rId1" w:history="1">
      <w:r w:rsidR="00B459A0" w:rsidRPr="009F5E60">
        <w:rPr>
          <w:rStyle w:val="Hyperlink"/>
        </w:rPr>
        <w:t>Barry.Temkin@gmail.com/(917)</w:t>
      </w:r>
    </w:hyperlink>
    <w:r w:rsidR="00B459A0">
      <w:t xml:space="preserve"> 572-4432</w:t>
    </w:r>
  </w:p>
  <w:p w14:paraId="50464301" w14:textId="42989EE4" w:rsidR="00BF34BC" w:rsidRDefault="00351AA8" w:rsidP="001C1D17">
    <w:pPr>
      <w:pStyle w:val="Header"/>
      <w:jc w:val="center"/>
    </w:pPr>
    <w:r>
      <w:t>Thursdays</w:t>
    </w:r>
    <w:r w:rsidR="00BF34BC">
      <w:t xml:space="preserve"> </w:t>
    </w:r>
    <w:r w:rsidR="00BA6A83">
      <w:t>6:00</w:t>
    </w:r>
    <w:r w:rsidR="00BF34BC">
      <w:t xml:space="preserve"> PM</w:t>
    </w:r>
    <w:r w:rsidR="0079145C">
      <w:t xml:space="preserve">/ Room </w:t>
    </w:r>
    <w:r w:rsidR="0029023F">
      <w:t>7-02</w:t>
    </w:r>
  </w:p>
  <w:p w14:paraId="0198BBD0" w14:textId="77777777" w:rsidR="008B44E3" w:rsidRDefault="00CD5927" w:rsidP="00544934">
    <w:pPr>
      <w:pStyle w:val="Header"/>
      <w:jc w:val="center"/>
    </w:pPr>
    <w:r>
      <w:t xml:space="preserve">Text: Securities Regulation, </w:t>
    </w:r>
    <w:r w:rsidR="0077651D">
      <w:t xml:space="preserve">Cases and Materials, Thomas Lee Hazen </w:t>
    </w:r>
  </w:p>
  <w:p w14:paraId="5B69C33F" w14:textId="77777777" w:rsidR="00AF010C" w:rsidRDefault="0077651D" w:rsidP="00544934">
    <w:pPr>
      <w:pStyle w:val="Header"/>
      <w:jc w:val="center"/>
    </w:pPr>
    <w:r>
      <w:t>(</w:t>
    </w:r>
    <w:r w:rsidR="008B44E3">
      <w:t>10</w:t>
    </w:r>
    <w:r w:rsidRPr="0077651D">
      <w:rPr>
        <w:vertAlign w:val="superscript"/>
      </w:rPr>
      <w:t>th</w:t>
    </w:r>
    <w:r>
      <w:t xml:space="preserve"> Ed. </w:t>
    </w:r>
    <w:r w:rsidR="008B44E3">
      <w:t>2020</w:t>
    </w:r>
    <w:r>
      <w:t>), West Academic Publishing</w:t>
    </w:r>
  </w:p>
  <w:p w14:paraId="037439EF" w14:textId="77777777" w:rsidR="00B66796" w:rsidRDefault="00B66796" w:rsidP="001C1D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6221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0E72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F00F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44EA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CA0F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DE93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C6F2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EEFE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62E6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204B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0643AC"/>
    <w:multiLevelType w:val="multilevel"/>
    <w:tmpl w:val="F708ABBC"/>
    <w:lvl w:ilvl="0">
      <w:start w:val="1"/>
      <w:numFmt w:val="decimal"/>
      <w:pStyle w:val="Heading1"/>
      <w:lvlText w:val="%1."/>
      <w:lvlJc w:val="left"/>
      <w:pPr>
        <w:tabs>
          <w:tab w:val="num" w:pos="0"/>
        </w:tabs>
        <w:ind w:left="72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tabs>
          <w:tab w:val="num" w:pos="0"/>
        </w:tabs>
        <w:ind w:left="14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tabs>
          <w:tab w:val="num" w:pos="0"/>
        </w:tabs>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pStyle w:val="Heading4"/>
      <w:lvlText w:val="%4."/>
      <w:lvlJc w:val="left"/>
      <w:pPr>
        <w:tabs>
          <w:tab w:val="num" w:pos="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decimal"/>
      <w:pStyle w:val="Heading5"/>
      <w:lvlText w:val="(%5)"/>
      <w:lvlJc w:val="left"/>
      <w:pPr>
        <w:tabs>
          <w:tab w:val="num" w:pos="0"/>
        </w:tabs>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1" w15:restartNumberingAfterBreak="0">
    <w:nsid w:val="716C0E94"/>
    <w:multiLevelType w:val="hybridMultilevel"/>
    <w:tmpl w:val="7032C5FA"/>
    <w:lvl w:ilvl="0" w:tplc="8B8E53B4">
      <w:start w:val="1"/>
      <w:numFmt w:val="bullet"/>
      <w:pStyle w:val="BulletAtMargin"/>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A8037E"/>
    <w:multiLevelType w:val="hybridMultilevel"/>
    <w:tmpl w:val="43907B22"/>
    <w:lvl w:ilvl="0" w:tplc="1A22D18E">
      <w:start w:val="1"/>
      <w:numFmt w:val="bullet"/>
      <w:pStyle w:val="BulletIndented"/>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0"/>
  </w:docVars>
  <w:rsids>
    <w:rsidRoot w:val="001C1D17"/>
    <w:rsid w:val="00001CBC"/>
    <w:rsid w:val="0000512D"/>
    <w:rsid w:val="000071DF"/>
    <w:rsid w:val="000073A9"/>
    <w:rsid w:val="000123EE"/>
    <w:rsid w:val="00014AC8"/>
    <w:rsid w:val="00014D3F"/>
    <w:rsid w:val="000154EA"/>
    <w:rsid w:val="00016352"/>
    <w:rsid w:val="00022E12"/>
    <w:rsid w:val="00023B9F"/>
    <w:rsid w:val="00023C79"/>
    <w:rsid w:val="00023E1E"/>
    <w:rsid w:val="000249FB"/>
    <w:rsid w:val="00025CF2"/>
    <w:rsid w:val="00030D6B"/>
    <w:rsid w:val="000317BE"/>
    <w:rsid w:val="000327F4"/>
    <w:rsid w:val="00032E18"/>
    <w:rsid w:val="00034893"/>
    <w:rsid w:val="0003508C"/>
    <w:rsid w:val="0004019E"/>
    <w:rsid w:val="000419AC"/>
    <w:rsid w:val="00046B9F"/>
    <w:rsid w:val="00047330"/>
    <w:rsid w:val="0004741F"/>
    <w:rsid w:val="00047D4B"/>
    <w:rsid w:val="000506CB"/>
    <w:rsid w:val="00054089"/>
    <w:rsid w:val="00056595"/>
    <w:rsid w:val="000566C3"/>
    <w:rsid w:val="00056FBF"/>
    <w:rsid w:val="00061DA5"/>
    <w:rsid w:val="00062B92"/>
    <w:rsid w:val="00064722"/>
    <w:rsid w:val="00071CF5"/>
    <w:rsid w:val="00072111"/>
    <w:rsid w:val="00073560"/>
    <w:rsid w:val="00074666"/>
    <w:rsid w:val="00077245"/>
    <w:rsid w:val="000776C4"/>
    <w:rsid w:val="000810EA"/>
    <w:rsid w:val="00082448"/>
    <w:rsid w:val="00093275"/>
    <w:rsid w:val="00093824"/>
    <w:rsid w:val="000945C9"/>
    <w:rsid w:val="00095402"/>
    <w:rsid w:val="000A2C9D"/>
    <w:rsid w:val="000B143A"/>
    <w:rsid w:val="000B4F99"/>
    <w:rsid w:val="000B51BB"/>
    <w:rsid w:val="000B577D"/>
    <w:rsid w:val="000B7405"/>
    <w:rsid w:val="000C03E2"/>
    <w:rsid w:val="000C04B0"/>
    <w:rsid w:val="000C0E72"/>
    <w:rsid w:val="000C1EB3"/>
    <w:rsid w:val="000C3141"/>
    <w:rsid w:val="000C3C85"/>
    <w:rsid w:val="000C646A"/>
    <w:rsid w:val="000C6F82"/>
    <w:rsid w:val="000C7AF9"/>
    <w:rsid w:val="000D03A5"/>
    <w:rsid w:val="000D0983"/>
    <w:rsid w:val="000D2139"/>
    <w:rsid w:val="000D614C"/>
    <w:rsid w:val="000D77C3"/>
    <w:rsid w:val="000E06A9"/>
    <w:rsid w:val="000E0A8F"/>
    <w:rsid w:val="000E0FEF"/>
    <w:rsid w:val="000E219F"/>
    <w:rsid w:val="000F3B45"/>
    <w:rsid w:val="000F42A5"/>
    <w:rsid w:val="001013A5"/>
    <w:rsid w:val="00103CEE"/>
    <w:rsid w:val="001069EE"/>
    <w:rsid w:val="00110BF4"/>
    <w:rsid w:val="00113CB5"/>
    <w:rsid w:val="001140D4"/>
    <w:rsid w:val="00114F89"/>
    <w:rsid w:val="001203A8"/>
    <w:rsid w:val="0012131E"/>
    <w:rsid w:val="00121BD9"/>
    <w:rsid w:val="001222A8"/>
    <w:rsid w:val="00122B34"/>
    <w:rsid w:val="00122B46"/>
    <w:rsid w:val="001237BD"/>
    <w:rsid w:val="00123A39"/>
    <w:rsid w:val="00126AD3"/>
    <w:rsid w:val="001315B6"/>
    <w:rsid w:val="00131C21"/>
    <w:rsid w:val="00137996"/>
    <w:rsid w:val="001414D3"/>
    <w:rsid w:val="001427F1"/>
    <w:rsid w:val="00143117"/>
    <w:rsid w:val="0014766D"/>
    <w:rsid w:val="001559C9"/>
    <w:rsid w:val="001569D8"/>
    <w:rsid w:val="001611F3"/>
    <w:rsid w:val="00166DA9"/>
    <w:rsid w:val="00171DBC"/>
    <w:rsid w:val="00174459"/>
    <w:rsid w:val="00174538"/>
    <w:rsid w:val="00175774"/>
    <w:rsid w:val="00175A6F"/>
    <w:rsid w:val="00180AFF"/>
    <w:rsid w:val="00181C39"/>
    <w:rsid w:val="0018597B"/>
    <w:rsid w:val="0019100E"/>
    <w:rsid w:val="0019198A"/>
    <w:rsid w:val="0019296B"/>
    <w:rsid w:val="00193681"/>
    <w:rsid w:val="00194FB5"/>
    <w:rsid w:val="001960C0"/>
    <w:rsid w:val="00196436"/>
    <w:rsid w:val="001A07E8"/>
    <w:rsid w:val="001A1AF6"/>
    <w:rsid w:val="001B0D9E"/>
    <w:rsid w:val="001B15E5"/>
    <w:rsid w:val="001B6D4D"/>
    <w:rsid w:val="001C12AB"/>
    <w:rsid w:val="001C1D17"/>
    <w:rsid w:val="001C5864"/>
    <w:rsid w:val="001C656F"/>
    <w:rsid w:val="001C7E49"/>
    <w:rsid w:val="001D0138"/>
    <w:rsid w:val="001D1772"/>
    <w:rsid w:val="001D30BC"/>
    <w:rsid w:val="001D4424"/>
    <w:rsid w:val="001D7FF0"/>
    <w:rsid w:val="001E131A"/>
    <w:rsid w:val="001E281F"/>
    <w:rsid w:val="001E31F5"/>
    <w:rsid w:val="001E6EDE"/>
    <w:rsid w:val="001E7309"/>
    <w:rsid w:val="001F0271"/>
    <w:rsid w:val="001F18D7"/>
    <w:rsid w:val="001F2D1D"/>
    <w:rsid w:val="001F42BE"/>
    <w:rsid w:val="001F5661"/>
    <w:rsid w:val="001F759C"/>
    <w:rsid w:val="0020146E"/>
    <w:rsid w:val="00201851"/>
    <w:rsid w:val="00210340"/>
    <w:rsid w:val="00210E90"/>
    <w:rsid w:val="002110E9"/>
    <w:rsid w:val="0021658E"/>
    <w:rsid w:val="00220C23"/>
    <w:rsid w:val="00220F4F"/>
    <w:rsid w:val="00224D4C"/>
    <w:rsid w:val="00224E7C"/>
    <w:rsid w:val="00225F89"/>
    <w:rsid w:val="002276DC"/>
    <w:rsid w:val="002334A4"/>
    <w:rsid w:val="00233E67"/>
    <w:rsid w:val="0023466A"/>
    <w:rsid w:val="00235495"/>
    <w:rsid w:val="002357A6"/>
    <w:rsid w:val="0023681C"/>
    <w:rsid w:val="0023759B"/>
    <w:rsid w:val="002410B8"/>
    <w:rsid w:val="00241B89"/>
    <w:rsid w:val="00241BE7"/>
    <w:rsid w:val="00243A73"/>
    <w:rsid w:val="00246730"/>
    <w:rsid w:val="00246E1D"/>
    <w:rsid w:val="0025001A"/>
    <w:rsid w:val="00251100"/>
    <w:rsid w:val="00251B11"/>
    <w:rsid w:val="00253CE2"/>
    <w:rsid w:val="002601FF"/>
    <w:rsid w:val="002634E0"/>
    <w:rsid w:val="002648B8"/>
    <w:rsid w:val="00265FC5"/>
    <w:rsid w:val="00267179"/>
    <w:rsid w:val="00271F35"/>
    <w:rsid w:val="00272582"/>
    <w:rsid w:val="00272CF4"/>
    <w:rsid w:val="00274D84"/>
    <w:rsid w:val="00276869"/>
    <w:rsid w:val="00277C3A"/>
    <w:rsid w:val="00280DF5"/>
    <w:rsid w:val="00281AFA"/>
    <w:rsid w:val="0028255C"/>
    <w:rsid w:val="002860D6"/>
    <w:rsid w:val="0029023F"/>
    <w:rsid w:val="002924E3"/>
    <w:rsid w:val="00293634"/>
    <w:rsid w:val="002971B9"/>
    <w:rsid w:val="002A10D5"/>
    <w:rsid w:val="002A2589"/>
    <w:rsid w:val="002A3F67"/>
    <w:rsid w:val="002A53FA"/>
    <w:rsid w:val="002B2DC2"/>
    <w:rsid w:val="002B69B4"/>
    <w:rsid w:val="002B7621"/>
    <w:rsid w:val="002B7C3A"/>
    <w:rsid w:val="002B7E87"/>
    <w:rsid w:val="002C07C7"/>
    <w:rsid w:val="002C388E"/>
    <w:rsid w:val="002C4570"/>
    <w:rsid w:val="002C470B"/>
    <w:rsid w:val="002C6DE6"/>
    <w:rsid w:val="002D0242"/>
    <w:rsid w:val="002D396F"/>
    <w:rsid w:val="002E0D9E"/>
    <w:rsid w:val="002E0F02"/>
    <w:rsid w:val="002E249C"/>
    <w:rsid w:val="002E2FE2"/>
    <w:rsid w:val="002E3E39"/>
    <w:rsid w:val="002F548F"/>
    <w:rsid w:val="002F6628"/>
    <w:rsid w:val="003011DD"/>
    <w:rsid w:val="0030232F"/>
    <w:rsid w:val="00306998"/>
    <w:rsid w:val="003078FE"/>
    <w:rsid w:val="0031074F"/>
    <w:rsid w:val="00313E61"/>
    <w:rsid w:val="00314670"/>
    <w:rsid w:val="00316CE7"/>
    <w:rsid w:val="00321A4A"/>
    <w:rsid w:val="00321AFB"/>
    <w:rsid w:val="003234CE"/>
    <w:rsid w:val="00326EC9"/>
    <w:rsid w:val="003270CB"/>
    <w:rsid w:val="00327B04"/>
    <w:rsid w:val="00327DAF"/>
    <w:rsid w:val="00334FA5"/>
    <w:rsid w:val="00336EE4"/>
    <w:rsid w:val="00337935"/>
    <w:rsid w:val="00342092"/>
    <w:rsid w:val="00343105"/>
    <w:rsid w:val="00351AA8"/>
    <w:rsid w:val="00352408"/>
    <w:rsid w:val="00355F28"/>
    <w:rsid w:val="0036201E"/>
    <w:rsid w:val="00362164"/>
    <w:rsid w:val="003629D1"/>
    <w:rsid w:val="00365E1B"/>
    <w:rsid w:val="003708BD"/>
    <w:rsid w:val="00371F88"/>
    <w:rsid w:val="00373598"/>
    <w:rsid w:val="00373A5B"/>
    <w:rsid w:val="0037607D"/>
    <w:rsid w:val="00376153"/>
    <w:rsid w:val="00383F36"/>
    <w:rsid w:val="003843AE"/>
    <w:rsid w:val="00385DEF"/>
    <w:rsid w:val="00394358"/>
    <w:rsid w:val="00394439"/>
    <w:rsid w:val="00394F38"/>
    <w:rsid w:val="003A0490"/>
    <w:rsid w:val="003B2F18"/>
    <w:rsid w:val="003B2F73"/>
    <w:rsid w:val="003B2FF3"/>
    <w:rsid w:val="003B5F28"/>
    <w:rsid w:val="003B753D"/>
    <w:rsid w:val="003E010B"/>
    <w:rsid w:val="003E60B2"/>
    <w:rsid w:val="003E6655"/>
    <w:rsid w:val="003F0373"/>
    <w:rsid w:val="003F05B6"/>
    <w:rsid w:val="003F1985"/>
    <w:rsid w:val="003F1C80"/>
    <w:rsid w:val="003F543C"/>
    <w:rsid w:val="003F5B00"/>
    <w:rsid w:val="00400371"/>
    <w:rsid w:val="00400653"/>
    <w:rsid w:val="004057BC"/>
    <w:rsid w:val="00405DDA"/>
    <w:rsid w:val="0041093C"/>
    <w:rsid w:val="004129BE"/>
    <w:rsid w:val="00413B7A"/>
    <w:rsid w:val="00414502"/>
    <w:rsid w:val="004148F4"/>
    <w:rsid w:val="004223E3"/>
    <w:rsid w:val="004266F3"/>
    <w:rsid w:val="00431630"/>
    <w:rsid w:val="00433597"/>
    <w:rsid w:val="00436364"/>
    <w:rsid w:val="00442324"/>
    <w:rsid w:val="004432A9"/>
    <w:rsid w:val="00443D5C"/>
    <w:rsid w:val="00450EC8"/>
    <w:rsid w:val="004513AD"/>
    <w:rsid w:val="00452A3B"/>
    <w:rsid w:val="0045399E"/>
    <w:rsid w:val="004539F5"/>
    <w:rsid w:val="00454C6E"/>
    <w:rsid w:val="00454E8E"/>
    <w:rsid w:val="004563BE"/>
    <w:rsid w:val="00456574"/>
    <w:rsid w:val="0046053B"/>
    <w:rsid w:val="00461225"/>
    <w:rsid w:val="0046242C"/>
    <w:rsid w:val="00462647"/>
    <w:rsid w:val="00470734"/>
    <w:rsid w:val="00470798"/>
    <w:rsid w:val="00471CB6"/>
    <w:rsid w:val="00475883"/>
    <w:rsid w:val="0048056E"/>
    <w:rsid w:val="004807DF"/>
    <w:rsid w:val="00481278"/>
    <w:rsid w:val="00483E73"/>
    <w:rsid w:val="00485061"/>
    <w:rsid w:val="00487383"/>
    <w:rsid w:val="004A0B45"/>
    <w:rsid w:val="004A44A8"/>
    <w:rsid w:val="004A4DB1"/>
    <w:rsid w:val="004A79CC"/>
    <w:rsid w:val="004B15C9"/>
    <w:rsid w:val="004B4186"/>
    <w:rsid w:val="004B4207"/>
    <w:rsid w:val="004C384D"/>
    <w:rsid w:val="004C6ED4"/>
    <w:rsid w:val="004D232F"/>
    <w:rsid w:val="004D4196"/>
    <w:rsid w:val="004D514A"/>
    <w:rsid w:val="004D70AF"/>
    <w:rsid w:val="004E01D3"/>
    <w:rsid w:val="004E24EC"/>
    <w:rsid w:val="004E7C62"/>
    <w:rsid w:val="004F2C63"/>
    <w:rsid w:val="004F2E60"/>
    <w:rsid w:val="004F7833"/>
    <w:rsid w:val="00500B24"/>
    <w:rsid w:val="00501781"/>
    <w:rsid w:val="005060EA"/>
    <w:rsid w:val="00510E9B"/>
    <w:rsid w:val="00516F45"/>
    <w:rsid w:val="00517333"/>
    <w:rsid w:val="00520B56"/>
    <w:rsid w:val="00522FEE"/>
    <w:rsid w:val="00526D6D"/>
    <w:rsid w:val="005304B8"/>
    <w:rsid w:val="00530DA2"/>
    <w:rsid w:val="00530F9E"/>
    <w:rsid w:val="00531B29"/>
    <w:rsid w:val="00532426"/>
    <w:rsid w:val="00535A85"/>
    <w:rsid w:val="005361B8"/>
    <w:rsid w:val="00541890"/>
    <w:rsid w:val="00541E2D"/>
    <w:rsid w:val="00542B69"/>
    <w:rsid w:val="0054310A"/>
    <w:rsid w:val="00544517"/>
    <w:rsid w:val="005448F8"/>
    <w:rsid w:val="00544934"/>
    <w:rsid w:val="005473D8"/>
    <w:rsid w:val="00551BDA"/>
    <w:rsid w:val="00551E85"/>
    <w:rsid w:val="00553C48"/>
    <w:rsid w:val="00553CD6"/>
    <w:rsid w:val="00554D02"/>
    <w:rsid w:val="00555281"/>
    <w:rsid w:val="00556EED"/>
    <w:rsid w:val="00560DEB"/>
    <w:rsid w:val="00562507"/>
    <w:rsid w:val="00563999"/>
    <w:rsid w:val="00564EC9"/>
    <w:rsid w:val="0056516D"/>
    <w:rsid w:val="005656E3"/>
    <w:rsid w:val="005675AD"/>
    <w:rsid w:val="00576CD4"/>
    <w:rsid w:val="005821B9"/>
    <w:rsid w:val="00582E3B"/>
    <w:rsid w:val="00585DEE"/>
    <w:rsid w:val="005869B2"/>
    <w:rsid w:val="00590C31"/>
    <w:rsid w:val="00593796"/>
    <w:rsid w:val="00593A17"/>
    <w:rsid w:val="00594311"/>
    <w:rsid w:val="0059494B"/>
    <w:rsid w:val="00595092"/>
    <w:rsid w:val="00595EEE"/>
    <w:rsid w:val="005964E7"/>
    <w:rsid w:val="005A1619"/>
    <w:rsid w:val="005A2A16"/>
    <w:rsid w:val="005A5916"/>
    <w:rsid w:val="005A7737"/>
    <w:rsid w:val="005B1274"/>
    <w:rsid w:val="005B2CE8"/>
    <w:rsid w:val="005B3598"/>
    <w:rsid w:val="005B3663"/>
    <w:rsid w:val="005B3F67"/>
    <w:rsid w:val="005B6C6A"/>
    <w:rsid w:val="005C0DF8"/>
    <w:rsid w:val="005C253B"/>
    <w:rsid w:val="005D18FF"/>
    <w:rsid w:val="005D2ABA"/>
    <w:rsid w:val="005D2D1C"/>
    <w:rsid w:val="005D4CD8"/>
    <w:rsid w:val="005E0AC5"/>
    <w:rsid w:val="005E0B4A"/>
    <w:rsid w:val="005E57D8"/>
    <w:rsid w:val="005E5DB8"/>
    <w:rsid w:val="005E5ECF"/>
    <w:rsid w:val="005E6CB3"/>
    <w:rsid w:val="005E7FC9"/>
    <w:rsid w:val="005F075F"/>
    <w:rsid w:val="005F17DA"/>
    <w:rsid w:val="005F1DD3"/>
    <w:rsid w:val="005F202C"/>
    <w:rsid w:val="005F2788"/>
    <w:rsid w:val="005F30BD"/>
    <w:rsid w:val="005F459D"/>
    <w:rsid w:val="005F53C5"/>
    <w:rsid w:val="005F5A97"/>
    <w:rsid w:val="005F5EA4"/>
    <w:rsid w:val="005F5FDB"/>
    <w:rsid w:val="00602708"/>
    <w:rsid w:val="00602D68"/>
    <w:rsid w:val="00602E0C"/>
    <w:rsid w:val="006036CD"/>
    <w:rsid w:val="00605ECC"/>
    <w:rsid w:val="00611402"/>
    <w:rsid w:val="00615FB4"/>
    <w:rsid w:val="00623513"/>
    <w:rsid w:val="00623585"/>
    <w:rsid w:val="00627969"/>
    <w:rsid w:val="00631804"/>
    <w:rsid w:val="0064013E"/>
    <w:rsid w:val="0064287F"/>
    <w:rsid w:val="0065094A"/>
    <w:rsid w:val="0065281B"/>
    <w:rsid w:val="0065382E"/>
    <w:rsid w:val="00656549"/>
    <w:rsid w:val="0065790B"/>
    <w:rsid w:val="00663EDE"/>
    <w:rsid w:val="006661D5"/>
    <w:rsid w:val="0066635F"/>
    <w:rsid w:val="0067131D"/>
    <w:rsid w:val="0067625F"/>
    <w:rsid w:val="006779BE"/>
    <w:rsid w:val="006835A0"/>
    <w:rsid w:val="00684775"/>
    <w:rsid w:val="006876E7"/>
    <w:rsid w:val="00692FF7"/>
    <w:rsid w:val="006A0EC8"/>
    <w:rsid w:val="006A284D"/>
    <w:rsid w:val="006B009C"/>
    <w:rsid w:val="006B23A6"/>
    <w:rsid w:val="006B387D"/>
    <w:rsid w:val="006B6303"/>
    <w:rsid w:val="006C01EB"/>
    <w:rsid w:val="006C0345"/>
    <w:rsid w:val="006C1421"/>
    <w:rsid w:val="006C7FE9"/>
    <w:rsid w:val="006D2E5C"/>
    <w:rsid w:val="006D3158"/>
    <w:rsid w:val="006D3791"/>
    <w:rsid w:val="006D55D8"/>
    <w:rsid w:val="006E0CF7"/>
    <w:rsid w:val="006E1604"/>
    <w:rsid w:val="006E1954"/>
    <w:rsid w:val="006E329C"/>
    <w:rsid w:val="006E48F3"/>
    <w:rsid w:val="006E6936"/>
    <w:rsid w:val="006F3CFF"/>
    <w:rsid w:val="006F3ED0"/>
    <w:rsid w:val="006F7581"/>
    <w:rsid w:val="006F7D13"/>
    <w:rsid w:val="00700352"/>
    <w:rsid w:val="007040DB"/>
    <w:rsid w:val="00707C0E"/>
    <w:rsid w:val="00711890"/>
    <w:rsid w:val="00724F4F"/>
    <w:rsid w:val="00737299"/>
    <w:rsid w:val="00746B73"/>
    <w:rsid w:val="007548F5"/>
    <w:rsid w:val="0076168B"/>
    <w:rsid w:val="0076351D"/>
    <w:rsid w:val="00765284"/>
    <w:rsid w:val="0076714D"/>
    <w:rsid w:val="00767664"/>
    <w:rsid w:val="00770112"/>
    <w:rsid w:val="00770113"/>
    <w:rsid w:val="0077171F"/>
    <w:rsid w:val="007723C0"/>
    <w:rsid w:val="00772F08"/>
    <w:rsid w:val="00772FA8"/>
    <w:rsid w:val="0077651D"/>
    <w:rsid w:val="007779D0"/>
    <w:rsid w:val="007854D2"/>
    <w:rsid w:val="007863FE"/>
    <w:rsid w:val="0079145C"/>
    <w:rsid w:val="007917EF"/>
    <w:rsid w:val="00791AE9"/>
    <w:rsid w:val="007956FD"/>
    <w:rsid w:val="00796E5C"/>
    <w:rsid w:val="00796F65"/>
    <w:rsid w:val="00797A63"/>
    <w:rsid w:val="007A0B18"/>
    <w:rsid w:val="007A2DD9"/>
    <w:rsid w:val="007A501F"/>
    <w:rsid w:val="007A61CE"/>
    <w:rsid w:val="007B0B0F"/>
    <w:rsid w:val="007B2724"/>
    <w:rsid w:val="007C11DA"/>
    <w:rsid w:val="007C185F"/>
    <w:rsid w:val="007C436F"/>
    <w:rsid w:val="007C742A"/>
    <w:rsid w:val="007D0C14"/>
    <w:rsid w:val="007D102B"/>
    <w:rsid w:val="007D1683"/>
    <w:rsid w:val="007D1FD7"/>
    <w:rsid w:val="007D38E3"/>
    <w:rsid w:val="007D533B"/>
    <w:rsid w:val="007E084B"/>
    <w:rsid w:val="007E1662"/>
    <w:rsid w:val="007E385B"/>
    <w:rsid w:val="007E4690"/>
    <w:rsid w:val="007E585C"/>
    <w:rsid w:val="007F5E5A"/>
    <w:rsid w:val="007F5E67"/>
    <w:rsid w:val="007F6E16"/>
    <w:rsid w:val="007F76A1"/>
    <w:rsid w:val="00800924"/>
    <w:rsid w:val="0081096D"/>
    <w:rsid w:val="008109DA"/>
    <w:rsid w:val="00817844"/>
    <w:rsid w:val="00820A57"/>
    <w:rsid w:val="00822717"/>
    <w:rsid w:val="00822B91"/>
    <w:rsid w:val="00824A02"/>
    <w:rsid w:val="008258F9"/>
    <w:rsid w:val="00825BB7"/>
    <w:rsid w:val="00826DA2"/>
    <w:rsid w:val="00832F10"/>
    <w:rsid w:val="0083303D"/>
    <w:rsid w:val="008334A1"/>
    <w:rsid w:val="008358A4"/>
    <w:rsid w:val="00835A50"/>
    <w:rsid w:val="00841D0D"/>
    <w:rsid w:val="00845904"/>
    <w:rsid w:val="0084744B"/>
    <w:rsid w:val="0084785D"/>
    <w:rsid w:val="0085048A"/>
    <w:rsid w:val="00850FBD"/>
    <w:rsid w:val="008543F5"/>
    <w:rsid w:val="00854515"/>
    <w:rsid w:val="00857A43"/>
    <w:rsid w:val="00857A66"/>
    <w:rsid w:val="00860171"/>
    <w:rsid w:val="00862B58"/>
    <w:rsid w:val="00864012"/>
    <w:rsid w:val="00864524"/>
    <w:rsid w:val="0086545E"/>
    <w:rsid w:val="00866B54"/>
    <w:rsid w:val="008765A2"/>
    <w:rsid w:val="008772BF"/>
    <w:rsid w:val="00882828"/>
    <w:rsid w:val="008864F1"/>
    <w:rsid w:val="008870B7"/>
    <w:rsid w:val="00891AC1"/>
    <w:rsid w:val="0089218C"/>
    <w:rsid w:val="00892A07"/>
    <w:rsid w:val="00895AD4"/>
    <w:rsid w:val="008A1F50"/>
    <w:rsid w:val="008A334E"/>
    <w:rsid w:val="008A3C1C"/>
    <w:rsid w:val="008A45D0"/>
    <w:rsid w:val="008A6110"/>
    <w:rsid w:val="008A73DE"/>
    <w:rsid w:val="008B17B0"/>
    <w:rsid w:val="008B17B9"/>
    <w:rsid w:val="008B44E3"/>
    <w:rsid w:val="008B5FF2"/>
    <w:rsid w:val="008B7051"/>
    <w:rsid w:val="008B7DE6"/>
    <w:rsid w:val="008C5589"/>
    <w:rsid w:val="008D0EC8"/>
    <w:rsid w:val="008D590A"/>
    <w:rsid w:val="008D6773"/>
    <w:rsid w:val="008E01FD"/>
    <w:rsid w:val="008E3A37"/>
    <w:rsid w:val="008E79C8"/>
    <w:rsid w:val="008F0C1A"/>
    <w:rsid w:val="008F1338"/>
    <w:rsid w:val="008F1F1E"/>
    <w:rsid w:val="008F364E"/>
    <w:rsid w:val="008F46D9"/>
    <w:rsid w:val="00902389"/>
    <w:rsid w:val="00904B33"/>
    <w:rsid w:val="009063D7"/>
    <w:rsid w:val="00912FEE"/>
    <w:rsid w:val="00915560"/>
    <w:rsid w:val="00915BBE"/>
    <w:rsid w:val="0091695B"/>
    <w:rsid w:val="0091728C"/>
    <w:rsid w:val="00917BF2"/>
    <w:rsid w:val="00917F29"/>
    <w:rsid w:val="00920B3D"/>
    <w:rsid w:val="00920F20"/>
    <w:rsid w:val="00924310"/>
    <w:rsid w:val="00924568"/>
    <w:rsid w:val="00925D7B"/>
    <w:rsid w:val="00932CC8"/>
    <w:rsid w:val="00935BE9"/>
    <w:rsid w:val="00936563"/>
    <w:rsid w:val="009403CC"/>
    <w:rsid w:val="00941E22"/>
    <w:rsid w:val="009420A6"/>
    <w:rsid w:val="00944B81"/>
    <w:rsid w:val="00944BAC"/>
    <w:rsid w:val="00947557"/>
    <w:rsid w:val="0094766C"/>
    <w:rsid w:val="00951EFF"/>
    <w:rsid w:val="00956DD8"/>
    <w:rsid w:val="00960406"/>
    <w:rsid w:val="009614D9"/>
    <w:rsid w:val="00963C92"/>
    <w:rsid w:val="00967CCB"/>
    <w:rsid w:val="00971F56"/>
    <w:rsid w:val="00975E22"/>
    <w:rsid w:val="00976073"/>
    <w:rsid w:val="009773D1"/>
    <w:rsid w:val="00977F46"/>
    <w:rsid w:val="0098198C"/>
    <w:rsid w:val="009828FA"/>
    <w:rsid w:val="0098317E"/>
    <w:rsid w:val="00983D7A"/>
    <w:rsid w:val="0099184B"/>
    <w:rsid w:val="009928AF"/>
    <w:rsid w:val="00994102"/>
    <w:rsid w:val="0099553D"/>
    <w:rsid w:val="009A1A3E"/>
    <w:rsid w:val="009A1A68"/>
    <w:rsid w:val="009A1FBA"/>
    <w:rsid w:val="009A24D4"/>
    <w:rsid w:val="009A29DC"/>
    <w:rsid w:val="009A7F21"/>
    <w:rsid w:val="009B07FE"/>
    <w:rsid w:val="009B0BCA"/>
    <w:rsid w:val="009B41CA"/>
    <w:rsid w:val="009B7216"/>
    <w:rsid w:val="009C0C0D"/>
    <w:rsid w:val="009C1E1C"/>
    <w:rsid w:val="009C440C"/>
    <w:rsid w:val="009C7B27"/>
    <w:rsid w:val="009D0129"/>
    <w:rsid w:val="009D169F"/>
    <w:rsid w:val="009D4490"/>
    <w:rsid w:val="009E257D"/>
    <w:rsid w:val="009E3448"/>
    <w:rsid w:val="009E34E7"/>
    <w:rsid w:val="009E5097"/>
    <w:rsid w:val="009E55E5"/>
    <w:rsid w:val="009E6577"/>
    <w:rsid w:val="009E7E33"/>
    <w:rsid w:val="009F236F"/>
    <w:rsid w:val="009F2B4E"/>
    <w:rsid w:val="009F3CA9"/>
    <w:rsid w:val="009F4E06"/>
    <w:rsid w:val="009F64ED"/>
    <w:rsid w:val="00A02338"/>
    <w:rsid w:val="00A06B0E"/>
    <w:rsid w:val="00A1045B"/>
    <w:rsid w:val="00A1271E"/>
    <w:rsid w:val="00A13011"/>
    <w:rsid w:val="00A13315"/>
    <w:rsid w:val="00A134C7"/>
    <w:rsid w:val="00A1368B"/>
    <w:rsid w:val="00A1611C"/>
    <w:rsid w:val="00A16B95"/>
    <w:rsid w:val="00A221C5"/>
    <w:rsid w:val="00A23D84"/>
    <w:rsid w:val="00A24D1F"/>
    <w:rsid w:val="00A26C87"/>
    <w:rsid w:val="00A275FB"/>
    <w:rsid w:val="00A32E1F"/>
    <w:rsid w:val="00A36F80"/>
    <w:rsid w:val="00A40077"/>
    <w:rsid w:val="00A40DE0"/>
    <w:rsid w:val="00A41D25"/>
    <w:rsid w:val="00A433BB"/>
    <w:rsid w:val="00A50512"/>
    <w:rsid w:val="00A514CE"/>
    <w:rsid w:val="00A521B9"/>
    <w:rsid w:val="00A523BC"/>
    <w:rsid w:val="00A529CF"/>
    <w:rsid w:val="00A5572E"/>
    <w:rsid w:val="00A569B5"/>
    <w:rsid w:val="00A6177B"/>
    <w:rsid w:val="00A61BE9"/>
    <w:rsid w:val="00A636C4"/>
    <w:rsid w:val="00A655D8"/>
    <w:rsid w:val="00A65DF1"/>
    <w:rsid w:val="00A66015"/>
    <w:rsid w:val="00A752B7"/>
    <w:rsid w:val="00A76AE6"/>
    <w:rsid w:val="00A77536"/>
    <w:rsid w:val="00A82037"/>
    <w:rsid w:val="00A82430"/>
    <w:rsid w:val="00A8459A"/>
    <w:rsid w:val="00A92F35"/>
    <w:rsid w:val="00A93932"/>
    <w:rsid w:val="00A95C8D"/>
    <w:rsid w:val="00AA0974"/>
    <w:rsid w:val="00AA2647"/>
    <w:rsid w:val="00AA41C4"/>
    <w:rsid w:val="00AB28A8"/>
    <w:rsid w:val="00AB45C4"/>
    <w:rsid w:val="00AB4A5E"/>
    <w:rsid w:val="00AB78C8"/>
    <w:rsid w:val="00AC2DAA"/>
    <w:rsid w:val="00AC31C1"/>
    <w:rsid w:val="00AC42EA"/>
    <w:rsid w:val="00AD0C67"/>
    <w:rsid w:val="00AD3707"/>
    <w:rsid w:val="00AD38E1"/>
    <w:rsid w:val="00AD5048"/>
    <w:rsid w:val="00AD548F"/>
    <w:rsid w:val="00AD562F"/>
    <w:rsid w:val="00AD5795"/>
    <w:rsid w:val="00AD5A14"/>
    <w:rsid w:val="00AD6DCA"/>
    <w:rsid w:val="00AD7AEB"/>
    <w:rsid w:val="00AE0A4B"/>
    <w:rsid w:val="00AE15AA"/>
    <w:rsid w:val="00AE16F8"/>
    <w:rsid w:val="00AE23C5"/>
    <w:rsid w:val="00AE2B24"/>
    <w:rsid w:val="00AE5257"/>
    <w:rsid w:val="00AE64DD"/>
    <w:rsid w:val="00AF010C"/>
    <w:rsid w:val="00AF037C"/>
    <w:rsid w:val="00AF477C"/>
    <w:rsid w:val="00B00A08"/>
    <w:rsid w:val="00B0135C"/>
    <w:rsid w:val="00B01846"/>
    <w:rsid w:val="00B02B72"/>
    <w:rsid w:val="00B04503"/>
    <w:rsid w:val="00B04FB4"/>
    <w:rsid w:val="00B10712"/>
    <w:rsid w:val="00B10A38"/>
    <w:rsid w:val="00B11AA4"/>
    <w:rsid w:val="00B14D46"/>
    <w:rsid w:val="00B14FFF"/>
    <w:rsid w:val="00B2290B"/>
    <w:rsid w:val="00B2486E"/>
    <w:rsid w:val="00B25F60"/>
    <w:rsid w:val="00B30963"/>
    <w:rsid w:val="00B30B33"/>
    <w:rsid w:val="00B334A0"/>
    <w:rsid w:val="00B34125"/>
    <w:rsid w:val="00B37EA2"/>
    <w:rsid w:val="00B440A6"/>
    <w:rsid w:val="00B446EE"/>
    <w:rsid w:val="00B4581F"/>
    <w:rsid w:val="00B459A0"/>
    <w:rsid w:val="00B45B1F"/>
    <w:rsid w:val="00B500A9"/>
    <w:rsid w:val="00B51905"/>
    <w:rsid w:val="00B528D9"/>
    <w:rsid w:val="00B528E3"/>
    <w:rsid w:val="00B5388A"/>
    <w:rsid w:val="00B563AC"/>
    <w:rsid w:val="00B56514"/>
    <w:rsid w:val="00B57762"/>
    <w:rsid w:val="00B64214"/>
    <w:rsid w:val="00B644FC"/>
    <w:rsid w:val="00B66796"/>
    <w:rsid w:val="00B67AC3"/>
    <w:rsid w:val="00B725C6"/>
    <w:rsid w:val="00B741EC"/>
    <w:rsid w:val="00B75C0C"/>
    <w:rsid w:val="00B83905"/>
    <w:rsid w:val="00B86918"/>
    <w:rsid w:val="00B91DB1"/>
    <w:rsid w:val="00B9401D"/>
    <w:rsid w:val="00B9441D"/>
    <w:rsid w:val="00B96D76"/>
    <w:rsid w:val="00BA12A0"/>
    <w:rsid w:val="00BA351A"/>
    <w:rsid w:val="00BA6A83"/>
    <w:rsid w:val="00BA7783"/>
    <w:rsid w:val="00BB0B97"/>
    <w:rsid w:val="00BB284D"/>
    <w:rsid w:val="00BB7166"/>
    <w:rsid w:val="00BC03C0"/>
    <w:rsid w:val="00BC37C0"/>
    <w:rsid w:val="00BD01A8"/>
    <w:rsid w:val="00BD19C4"/>
    <w:rsid w:val="00BE0683"/>
    <w:rsid w:val="00BE0C24"/>
    <w:rsid w:val="00BE6D35"/>
    <w:rsid w:val="00BF0B39"/>
    <w:rsid w:val="00BF165D"/>
    <w:rsid w:val="00BF2BA2"/>
    <w:rsid w:val="00BF2C71"/>
    <w:rsid w:val="00BF32B6"/>
    <w:rsid w:val="00BF34BC"/>
    <w:rsid w:val="00BF5992"/>
    <w:rsid w:val="00BF678E"/>
    <w:rsid w:val="00C01E50"/>
    <w:rsid w:val="00C05A21"/>
    <w:rsid w:val="00C05B04"/>
    <w:rsid w:val="00C105BD"/>
    <w:rsid w:val="00C12163"/>
    <w:rsid w:val="00C13881"/>
    <w:rsid w:val="00C14076"/>
    <w:rsid w:val="00C153D2"/>
    <w:rsid w:val="00C162C6"/>
    <w:rsid w:val="00C163DD"/>
    <w:rsid w:val="00C17002"/>
    <w:rsid w:val="00C20B5B"/>
    <w:rsid w:val="00C214EE"/>
    <w:rsid w:val="00C2180A"/>
    <w:rsid w:val="00C225B5"/>
    <w:rsid w:val="00C24970"/>
    <w:rsid w:val="00C25AD2"/>
    <w:rsid w:val="00C30593"/>
    <w:rsid w:val="00C30EB2"/>
    <w:rsid w:val="00C3290C"/>
    <w:rsid w:val="00C32F68"/>
    <w:rsid w:val="00C33E62"/>
    <w:rsid w:val="00C33F84"/>
    <w:rsid w:val="00C35CD1"/>
    <w:rsid w:val="00C378B4"/>
    <w:rsid w:val="00C43759"/>
    <w:rsid w:val="00C473D1"/>
    <w:rsid w:val="00C548DF"/>
    <w:rsid w:val="00C54ED6"/>
    <w:rsid w:val="00C56BF9"/>
    <w:rsid w:val="00C602C0"/>
    <w:rsid w:val="00C6045F"/>
    <w:rsid w:val="00C61B94"/>
    <w:rsid w:val="00C61C2C"/>
    <w:rsid w:val="00C63CFA"/>
    <w:rsid w:val="00C67208"/>
    <w:rsid w:val="00C6736F"/>
    <w:rsid w:val="00C725EE"/>
    <w:rsid w:val="00C747BD"/>
    <w:rsid w:val="00C90B4E"/>
    <w:rsid w:val="00C96E99"/>
    <w:rsid w:val="00CA0A64"/>
    <w:rsid w:val="00CA20F3"/>
    <w:rsid w:val="00CA3B11"/>
    <w:rsid w:val="00CA4D2F"/>
    <w:rsid w:val="00CA61AB"/>
    <w:rsid w:val="00CA6D14"/>
    <w:rsid w:val="00CB1BA6"/>
    <w:rsid w:val="00CB6F58"/>
    <w:rsid w:val="00CB7EA9"/>
    <w:rsid w:val="00CC2A96"/>
    <w:rsid w:val="00CC5762"/>
    <w:rsid w:val="00CD05A5"/>
    <w:rsid w:val="00CD0629"/>
    <w:rsid w:val="00CD0A1D"/>
    <w:rsid w:val="00CD0EAD"/>
    <w:rsid w:val="00CD114A"/>
    <w:rsid w:val="00CD2206"/>
    <w:rsid w:val="00CD2BB3"/>
    <w:rsid w:val="00CD2C80"/>
    <w:rsid w:val="00CD2CA3"/>
    <w:rsid w:val="00CD4AC3"/>
    <w:rsid w:val="00CD5927"/>
    <w:rsid w:val="00CD7044"/>
    <w:rsid w:val="00CD75C6"/>
    <w:rsid w:val="00CE1AD8"/>
    <w:rsid w:val="00CE3948"/>
    <w:rsid w:val="00CE458F"/>
    <w:rsid w:val="00CF0177"/>
    <w:rsid w:val="00D00212"/>
    <w:rsid w:val="00D00E09"/>
    <w:rsid w:val="00D031F5"/>
    <w:rsid w:val="00D03BF1"/>
    <w:rsid w:val="00D04D6C"/>
    <w:rsid w:val="00D06423"/>
    <w:rsid w:val="00D10717"/>
    <w:rsid w:val="00D12ACC"/>
    <w:rsid w:val="00D15956"/>
    <w:rsid w:val="00D15EB5"/>
    <w:rsid w:val="00D1772D"/>
    <w:rsid w:val="00D265E9"/>
    <w:rsid w:val="00D272E8"/>
    <w:rsid w:val="00D31A21"/>
    <w:rsid w:val="00D326B2"/>
    <w:rsid w:val="00D328EA"/>
    <w:rsid w:val="00D404BA"/>
    <w:rsid w:val="00D43978"/>
    <w:rsid w:val="00D457D6"/>
    <w:rsid w:val="00D4680F"/>
    <w:rsid w:val="00D5432C"/>
    <w:rsid w:val="00D560EB"/>
    <w:rsid w:val="00D5708C"/>
    <w:rsid w:val="00D63D91"/>
    <w:rsid w:val="00D64E1B"/>
    <w:rsid w:val="00D67728"/>
    <w:rsid w:val="00D70327"/>
    <w:rsid w:val="00D71BD3"/>
    <w:rsid w:val="00D73278"/>
    <w:rsid w:val="00D73C04"/>
    <w:rsid w:val="00D74BD7"/>
    <w:rsid w:val="00D75DC5"/>
    <w:rsid w:val="00D774E9"/>
    <w:rsid w:val="00D8025C"/>
    <w:rsid w:val="00D861ED"/>
    <w:rsid w:val="00D91AB7"/>
    <w:rsid w:val="00D9447F"/>
    <w:rsid w:val="00D974DF"/>
    <w:rsid w:val="00DA101B"/>
    <w:rsid w:val="00DA4F32"/>
    <w:rsid w:val="00DA668F"/>
    <w:rsid w:val="00DA7357"/>
    <w:rsid w:val="00DB143E"/>
    <w:rsid w:val="00DB28A5"/>
    <w:rsid w:val="00DB2D51"/>
    <w:rsid w:val="00DB3FC7"/>
    <w:rsid w:val="00DB5BF0"/>
    <w:rsid w:val="00DB69F7"/>
    <w:rsid w:val="00DC09BE"/>
    <w:rsid w:val="00DC31AB"/>
    <w:rsid w:val="00DC3B7A"/>
    <w:rsid w:val="00DC4612"/>
    <w:rsid w:val="00DC634B"/>
    <w:rsid w:val="00DC66A7"/>
    <w:rsid w:val="00DD06DE"/>
    <w:rsid w:val="00DD41B5"/>
    <w:rsid w:val="00DD4A85"/>
    <w:rsid w:val="00DD76E3"/>
    <w:rsid w:val="00DE0E46"/>
    <w:rsid w:val="00DE5EB0"/>
    <w:rsid w:val="00DE701F"/>
    <w:rsid w:val="00DF3A5F"/>
    <w:rsid w:val="00DF655C"/>
    <w:rsid w:val="00DF7836"/>
    <w:rsid w:val="00E051CF"/>
    <w:rsid w:val="00E05FB1"/>
    <w:rsid w:val="00E077CA"/>
    <w:rsid w:val="00E07A93"/>
    <w:rsid w:val="00E10C94"/>
    <w:rsid w:val="00E11CDB"/>
    <w:rsid w:val="00E13E7F"/>
    <w:rsid w:val="00E15221"/>
    <w:rsid w:val="00E1590C"/>
    <w:rsid w:val="00E17C33"/>
    <w:rsid w:val="00E222E4"/>
    <w:rsid w:val="00E2377B"/>
    <w:rsid w:val="00E2772F"/>
    <w:rsid w:val="00E40D59"/>
    <w:rsid w:val="00E40FF5"/>
    <w:rsid w:val="00E41389"/>
    <w:rsid w:val="00E423AB"/>
    <w:rsid w:val="00E43F69"/>
    <w:rsid w:val="00E4447C"/>
    <w:rsid w:val="00E47635"/>
    <w:rsid w:val="00E47940"/>
    <w:rsid w:val="00E522A1"/>
    <w:rsid w:val="00E54A61"/>
    <w:rsid w:val="00E562B1"/>
    <w:rsid w:val="00E56AF9"/>
    <w:rsid w:val="00E56B07"/>
    <w:rsid w:val="00E61166"/>
    <w:rsid w:val="00E673C1"/>
    <w:rsid w:val="00E70775"/>
    <w:rsid w:val="00E711D4"/>
    <w:rsid w:val="00E718AE"/>
    <w:rsid w:val="00E71A61"/>
    <w:rsid w:val="00E71D03"/>
    <w:rsid w:val="00E7243E"/>
    <w:rsid w:val="00E73601"/>
    <w:rsid w:val="00E77270"/>
    <w:rsid w:val="00E8451C"/>
    <w:rsid w:val="00E92655"/>
    <w:rsid w:val="00E9531A"/>
    <w:rsid w:val="00E957F7"/>
    <w:rsid w:val="00E96CE0"/>
    <w:rsid w:val="00E97305"/>
    <w:rsid w:val="00EA1619"/>
    <w:rsid w:val="00EA2424"/>
    <w:rsid w:val="00EA36B1"/>
    <w:rsid w:val="00EA76D8"/>
    <w:rsid w:val="00EB01DB"/>
    <w:rsid w:val="00EB1C49"/>
    <w:rsid w:val="00EB234D"/>
    <w:rsid w:val="00EB27A6"/>
    <w:rsid w:val="00EB34AF"/>
    <w:rsid w:val="00EB51D1"/>
    <w:rsid w:val="00EB578F"/>
    <w:rsid w:val="00EB6280"/>
    <w:rsid w:val="00EC29C9"/>
    <w:rsid w:val="00EC3E4B"/>
    <w:rsid w:val="00EC4B66"/>
    <w:rsid w:val="00ED06EB"/>
    <w:rsid w:val="00ED0857"/>
    <w:rsid w:val="00ED0999"/>
    <w:rsid w:val="00ED6661"/>
    <w:rsid w:val="00EE6072"/>
    <w:rsid w:val="00EE71FE"/>
    <w:rsid w:val="00F00F71"/>
    <w:rsid w:val="00F019EF"/>
    <w:rsid w:val="00F027C1"/>
    <w:rsid w:val="00F0318A"/>
    <w:rsid w:val="00F04DE6"/>
    <w:rsid w:val="00F05DE2"/>
    <w:rsid w:val="00F07819"/>
    <w:rsid w:val="00F12B8F"/>
    <w:rsid w:val="00F1331C"/>
    <w:rsid w:val="00F170A6"/>
    <w:rsid w:val="00F177B4"/>
    <w:rsid w:val="00F21122"/>
    <w:rsid w:val="00F23397"/>
    <w:rsid w:val="00F310FB"/>
    <w:rsid w:val="00F31455"/>
    <w:rsid w:val="00F33D96"/>
    <w:rsid w:val="00F34B45"/>
    <w:rsid w:val="00F35FB1"/>
    <w:rsid w:val="00F406F7"/>
    <w:rsid w:val="00F41683"/>
    <w:rsid w:val="00F417A9"/>
    <w:rsid w:val="00F41CD9"/>
    <w:rsid w:val="00F42B0B"/>
    <w:rsid w:val="00F452CF"/>
    <w:rsid w:val="00F50CDF"/>
    <w:rsid w:val="00F51687"/>
    <w:rsid w:val="00F55A83"/>
    <w:rsid w:val="00F61102"/>
    <w:rsid w:val="00F61E41"/>
    <w:rsid w:val="00F6244D"/>
    <w:rsid w:val="00F62482"/>
    <w:rsid w:val="00F67360"/>
    <w:rsid w:val="00F721C8"/>
    <w:rsid w:val="00F808BB"/>
    <w:rsid w:val="00F8205D"/>
    <w:rsid w:val="00F8230B"/>
    <w:rsid w:val="00F852FB"/>
    <w:rsid w:val="00F90F83"/>
    <w:rsid w:val="00F932FD"/>
    <w:rsid w:val="00F96950"/>
    <w:rsid w:val="00FA05E7"/>
    <w:rsid w:val="00FA52C2"/>
    <w:rsid w:val="00FA66B0"/>
    <w:rsid w:val="00FA67D2"/>
    <w:rsid w:val="00FA75F2"/>
    <w:rsid w:val="00FA7A66"/>
    <w:rsid w:val="00FB05E6"/>
    <w:rsid w:val="00FB31B5"/>
    <w:rsid w:val="00FB3E77"/>
    <w:rsid w:val="00FB78A2"/>
    <w:rsid w:val="00FC54EF"/>
    <w:rsid w:val="00FC657B"/>
    <w:rsid w:val="00FD0325"/>
    <w:rsid w:val="00FD5620"/>
    <w:rsid w:val="00FD5645"/>
    <w:rsid w:val="00FD5FCF"/>
    <w:rsid w:val="00FD7AF5"/>
    <w:rsid w:val="00FE429B"/>
    <w:rsid w:val="00FE52C4"/>
    <w:rsid w:val="00FE5D35"/>
    <w:rsid w:val="00FE6D70"/>
    <w:rsid w:val="00FE7BA3"/>
    <w:rsid w:val="00FF08D7"/>
    <w:rsid w:val="00FF2667"/>
    <w:rsid w:val="00FF2B04"/>
    <w:rsid w:val="00FF4AC0"/>
    <w:rsid w:val="00FF5995"/>
    <w:rsid w:val="00FF60B8"/>
    <w:rsid w:val="00FF60E0"/>
    <w:rsid w:val="00FF7047"/>
    <w:rsid w:val="291196A7"/>
    <w:rsid w:val="77488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5D75"/>
  <w15:docId w15:val="{AC2387C5-E941-4153-9124-51F3BC67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5DF1"/>
    <w:pPr>
      <w:spacing w:after="0" w:line="240" w:lineRule="auto"/>
    </w:pPr>
    <w:rPr>
      <w:rFonts w:ascii="Times New Roman" w:hAnsi="Times New Roman" w:cs="Times New Roman"/>
      <w:sz w:val="24"/>
    </w:rPr>
  </w:style>
  <w:style w:type="paragraph" w:styleId="Heading1">
    <w:name w:val="heading 1"/>
    <w:basedOn w:val="Normal"/>
    <w:link w:val="Heading1Char"/>
    <w:qFormat/>
    <w:rsid w:val="005E7FC9"/>
    <w:pPr>
      <w:numPr>
        <w:numId w:val="13"/>
      </w:numPr>
      <w:tabs>
        <w:tab w:val="clear" w:pos="0"/>
      </w:tabs>
      <w:spacing w:after="240"/>
      <w:outlineLvl w:val="0"/>
    </w:pPr>
    <w:rPr>
      <w:rFonts w:eastAsia="Times New Roman"/>
      <w:bCs/>
      <w:szCs w:val="24"/>
    </w:rPr>
  </w:style>
  <w:style w:type="paragraph" w:styleId="Heading2">
    <w:name w:val="heading 2"/>
    <w:basedOn w:val="Normal"/>
    <w:link w:val="Heading2Char"/>
    <w:qFormat/>
    <w:rsid w:val="005E7FC9"/>
    <w:pPr>
      <w:numPr>
        <w:ilvl w:val="1"/>
        <w:numId w:val="13"/>
      </w:numPr>
      <w:tabs>
        <w:tab w:val="clear" w:pos="0"/>
      </w:tabs>
      <w:spacing w:after="240"/>
      <w:outlineLvl w:val="1"/>
    </w:pPr>
    <w:rPr>
      <w:rFonts w:eastAsia="Times New Roman"/>
      <w:bCs/>
      <w:iCs/>
      <w:szCs w:val="28"/>
    </w:rPr>
  </w:style>
  <w:style w:type="paragraph" w:styleId="Heading3">
    <w:name w:val="heading 3"/>
    <w:basedOn w:val="Normal"/>
    <w:link w:val="Heading3Char"/>
    <w:qFormat/>
    <w:rsid w:val="005E7FC9"/>
    <w:pPr>
      <w:numPr>
        <w:ilvl w:val="2"/>
        <w:numId w:val="13"/>
      </w:numPr>
      <w:tabs>
        <w:tab w:val="clear" w:pos="0"/>
      </w:tabs>
      <w:spacing w:after="240"/>
      <w:outlineLvl w:val="2"/>
    </w:pPr>
    <w:rPr>
      <w:rFonts w:eastAsia="Times New Roman"/>
      <w:bCs/>
      <w:szCs w:val="24"/>
    </w:rPr>
  </w:style>
  <w:style w:type="paragraph" w:styleId="Heading4">
    <w:name w:val="heading 4"/>
    <w:basedOn w:val="Normal"/>
    <w:link w:val="Heading4Char"/>
    <w:rsid w:val="005E7FC9"/>
    <w:pPr>
      <w:numPr>
        <w:ilvl w:val="3"/>
        <w:numId w:val="13"/>
      </w:numPr>
      <w:tabs>
        <w:tab w:val="clear" w:pos="0"/>
      </w:tabs>
      <w:spacing w:after="240"/>
      <w:outlineLvl w:val="3"/>
    </w:pPr>
    <w:rPr>
      <w:rFonts w:eastAsia="Times New Roman"/>
      <w:bCs/>
      <w:szCs w:val="24"/>
    </w:rPr>
  </w:style>
  <w:style w:type="paragraph" w:styleId="Heading5">
    <w:name w:val="heading 5"/>
    <w:basedOn w:val="Normal"/>
    <w:link w:val="Heading5Char"/>
    <w:rsid w:val="005E7FC9"/>
    <w:pPr>
      <w:numPr>
        <w:ilvl w:val="4"/>
        <w:numId w:val="13"/>
      </w:numPr>
      <w:tabs>
        <w:tab w:val="clear" w:pos="0"/>
      </w:tabs>
      <w:spacing w:after="240"/>
      <w:outlineLvl w:val="4"/>
    </w:pPr>
    <w:rPr>
      <w:rFonts w:eastAsia="Times New Roman"/>
      <w:bCs/>
      <w:iCs/>
      <w:szCs w:val="26"/>
    </w:rPr>
  </w:style>
  <w:style w:type="paragraph" w:styleId="Heading6">
    <w:name w:val="heading 6"/>
    <w:basedOn w:val="Normal"/>
    <w:next w:val="BodyText"/>
    <w:link w:val="Heading6Char"/>
    <w:rsid w:val="005E7FC9"/>
    <w:pPr>
      <w:numPr>
        <w:ilvl w:val="5"/>
        <w:numId w:val="13"/>
      </w:numPr>
      <w:tabs>
        <w:tab w:val="clear" w:pos="0"/>
      </w:tabs>
      <w:spacing w:after="240"/>
      <w:outlineLvl w:val="5"/>
    </w:pPr>
    <w:rPr>
      <w:rFonts w:eastAsia="Times New Roman"/>
      <w:bCs/>
      <w:szCs w:val="24"/>
    </w:rPr>
  </w:style>
  <w:style w:type="paragraph" w:styleId="Heading7">
    <w:name w:val="heading 7"/>
    <w:basedOn w:val="Normal"/>
    <w:next w:val="BodyText"/>
    <w:link w:val="Heading7Char"/>
    <w:rsid w:val="005E7FC9"/>
    <w:pPr>
      <w:numPr>
        <w:ilvl w:val="6"/>
        <w:numId w:val="13"/>
      </w:numPr>
      <w:tabs>
        <w:tab w:val="clear" w:pos="0"/>
      </w:tabs>
      <w:spacing w:after="240"/>
      <w:outlineLvl w:val="6"/>
    </w:pPr>
    <w:rPr>
      <w:rFonts w:eastAsia="Times New Roman"/>
      <w:szCs w:val="24"/>
    </w:rPr>
  </w:style>
  <w:style w:type="paragraph" w:styleId="Heading8">
    <w:name w:val="heading 8"/>
    <w:basedOn w:val="Normal"/>
    <w:next w:val="BodyText"/>
    <w:link w:val="Heading8Char"/>
    <w:rsid w:val="005E7FC9"/>
    <w:pPr>
      <w:numPr>
        <w:ilvl w:val="7"/>
        <w:numId w:val="13"/>
      </w:numPr>
      <w:tabs>
        <w:tab w:val="clear" w:pos="0"/>
      </w:tabs>
      <w:spacing w:before="240" w:after="60"/>
      <w:outlineLvl w:val="7"/>
    </w:pPr>
    <w:rPr>
      <w:rFonts w:eastAsia="Times New Roman"/>
      <w:iCs/>
      <w:szCs w:val="24"/>
    </w:rPr>
  </w:style>
  <w:style w:type="paragraph" w:styleId="Heading9">
    <w:name w:val="heading 9"/>
    <w:basedOn w:val="Normal"/>
    <w:next w:val="BodyText"/>
    <w:link w:val="Heading9Char"/>
    <w:rsid w:val="005E7FC9"/>
    <w:pPr>
      <w:numPr>
        <w:ilvl w:val="8"/>
        <w:numId w:val="13"/>
      </w:numPr>
      <w:tabs>
        <w:tab w:val="clear" w:pos="0"/>
      </w:tabs>
      <w:spacing w:after="24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9AC"/>
    <w:rPr>
      <w:rFonts w:ascii="Tahoma" w:hAnsi="Tahoma" w:cs="Tahoma"/>
      <w:sz w:val="16"/>
      <w:szCs w:val="16"/>
    </w:rPr>
  </w:style>
  <w:style w:type="character" w:customStyle="1" w:styleId="BalloonTextChar">
    <w:name w:val="Balloon Text Char"/>
    <w:basedOn w:val="DefaultParagraphFont"/>
    <w:link w:val="BalloonText"/>
    <w:uiPriority w:val="99"/>
    <w:semiHidden/>
    <w:rsid w:val="000419AC"/>
    <w:rPr>
      <w:rFonts w:ascii="Tahoma" w:hAnsi="Tahoma" w:cs="Tahoma"/>
      <w:sz w:val="16"/>
      <w:szCs w:val="16"/>
    </w:rPr>
  </w:style>
  <w:style w:type="paragraph" w:styleId="Bibliography">
    <w:name w:val="Bibliography"/>
    <w:basedOn w:val="Normal"/>
    <w:next w:val="Normal"/>
    <w:uiPriority w:val="37"/>
    <w:semiHidden/>
    <w:unhideWhenUsed/>
    <w:rsid w:val="000419AC"/>
  </w:style>
  <w:style w:type="paragraph" w:styleId="BlockText">
    <w:name w:val="Block Text"/>
    <w:basedOn w:val="Normal"/>
    <w:uiPriority w:val="99"/>
    <w:semiHidden/>
    <w:unhideWhenUsed/>
    <w:rsid w:val="000419A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rsid w:val="005E7FC9"/>
    <w:pPr>
      <w:spacing w:after="240"/>
      <w:jc w:val="both"/>
    </w:pPr>
    <w:rPr>
      <w:rFonts w:eastAsia="Times New Roman"/>
      <w:szCs w:val="24"/>
    </w:rPr>
  </w:style>
  <w:style w:type="character" w:customStyle="1" w:styleId="BodyTextChar">
    <w:name w:val="Body Text Char"/>
    <w:link w:val="BodyText"/>
    <w:rsid w:val="005E7FC9"/>
    <w:rPr>
      <w:rFonts w:ascii="Times New Roman" w:eastAsia="Times New Roman" w:hAnsi="Times New Roman" w:cs="Times New Roman"/>
      <w:sz w:val="24"/>
      <w:szCs w:val="24"/>
    </w:rPr>
  </w:style>
  <w:style w:type="paragraph" w:styleId="BodyText2">
    <w:name w:val="Body Text 2"/>
    <w:basedOn w:val="Normal"/>
    <w:link w:val="BodyText2Char"/>
    <w:rsid w:val="005E7FC9"/>
    <w:pPr>
      <w:spacing w:line="480" w:lineRule="auto"/>
      <w:jc w:val="both"/>
    </w:pPr>
    <w:rPr>
      <w:rFonts w:eastAsia="Times New Roman"/>
      <w:szCs w:val="24"/>
    </w:rPr>
  </w:style>
  <w:style w:type="character" w:customStyle="1" w:styleId="BodyText2Char">
    <w:name w:val="Body Text 2 Char"/>
    <w:link w:val="BodyText2"/>
    <w:rsid w:val="005E7FC9"/>
    <w:rPr>
      <w:rFonts w:ascii="Times New Roman" w:eastAsia="Times New Roman" w:hAnsi="Times New Roman" w:cs="Times New Roman"/>
      <w:sz w:val="24"/>
      <w:szCs w:val="24"/>
    </w:rPr>
  </w:style>
  <w:style w:type="paragraph" w:styleId="BodyText3">
    <w:name w:val="Body Text 3"/>
    <w:basedOn w:val="Normal"/>
    <w:link w:val="BodyText3Char"/>
    <w:rsid w:val="005E7FC9"/>
    <w:pPr>
      <w:spacing w:line="720" w:lineRule="auto"/>
      <w:jc w:val="both"/>
    </w:pPr>
    <w:rPr>
      <w:rFonts w:eastAsia="Times New Roman"/>
      <w:szCs w:val="16"/>
    </w:rPr>
  </w:style>
  <w:style w:type="character" w:customStyle="1" w:styleId="BodyText3Char">
    <w:name w:val="Body Text 3 Char"/>
    <w:link w:val="BodyText3"/>
    <w:rsid w:val="005E7FC9"/>
    <w:rPr>
      <w:rFonts w:ascii="Times New Roman" w:eastAsia="Times New Roman" w:hAnsi="Times New Roman" w:cs="Times New Roman"/>
      <w:sz w:val="24"/>
      <w:szCs w:val="16"/>
    </w:rPr>
  </w:style>
  <w:style w:type="paragraph" w:styleId="BodyTextFirstIndent">
    <w:name w:val="Body Text First Indent"/>
    <w:basedOn w:val="Normal"/>
    <w:link w:val="BodyTextFirstIndentChar"/>
    <w:rsid w:val="005E7FC9"/>
    <w:pPr>
      <w:spacing w:after="240"/>
      <w:ind w:firstLine="720"/>
      <w:jc w:val="both"/>
    </w:pPr>
    <w:rPr>
      <w:rFonts w:eastAsia="Times New Roman"/>
      <w:szCs w:val="24"/>
    </w:rPr>
  </w:style>
  <w:style w:type="character" w:customStyle="1" w:styleId="BodyTextFirstIndentChar">
    <w:name w:val="Body Text First Indent Char"/>
    <w:link w:val="BodyTextFirstIndent"/>
    <w:rsid w:val="005E7FC9"/>
    <w:rPr>
      <w:rFonts w:ascii="Times New Roman" w:eastAsia="Times New Roman" w:hAnsi="Times New Roman" w:cs="Times New Roman"/>
      <w:sz w:val="24"/>
      <w:szCs w:val="24"/>
    </w:rPr>
  </w:style>
  <w:style w:type="paragraph" w:styleId="BodyTextIndent">
    <w:name w:val="Body Text Indent"/>
    <w:basedOn w:val="Normal"/>
    <w:link w:val="BodyTextIndentChar"/>
    <w:rsid w:val="005E7FC9"/>
    <w:pPr>
      <w:ind w:left="1440"/>
      <w:jc w:val="both"/>
    </w:pPr>
    <w:rPr>
      <w:rFonts w:eastAsia="Times New Roman"/>
      <w:szCs w:val="24"/>
    </w:rPr>
  </w:style>
  <w:style w:type="character" w:customStyle="1" w:styleId="BodyTextIndentChar">
    <w:name w:val="Body Text Indent Char"/>
    <w:link w:val="BodyTextIndent"/>
    <w:rsid w:val="005E7FC9"/>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qFormat/>
    <w:rsid w:val="005E7FC9"/>
    <w:pPr>
      <w:spacing w:line="480" w:lineRule="auto"/>
      <w:ind w:firstLine="720"/>
      <w:jc w:val="both"/>
    </w:pPr>
    <w:rPr>
      <w:rFonts w:eastAsia="Times New Roman"/>
      <w:szCs w:val="24"/>
    </w:rPr>
  </w:style>
  <w:style w:type="character" w:customStyle="1" w:styleId="BodyTextFirstIndent2Char">
    <w:name w:val="Body Text First Indent 2 Char"/>
    <w:link w:val="BodyTextFirstIndent2"/>
    <w:rsid w:val="005E7FC9"/>
    <w:rPr>
      <w:rFonts w:ascii="Times New Roman" w:eastAsia="Times New Roman" w:hAnsi="Times New Roman" w:cs="Times New Roman"/>
      <w:sz w:val="24"/>
      <w:szCs w:val="24"/>
    </w:rPr>
  </w:style>
  <w:style w:type="paragraph" w:styleId="BodyTextIndent2">
    <w:name w:val="Body Text Indent 2"/>
    <w:basedOn w:val="Normal"/>
    <w:link w:val="BodyTextIndent2Char"/>
    <w:rsid w:val="005E7FC9"/>
    <w:pPr>
      <w:spacing w:line="480" w:lineRule="auto"/>
      <w:ind w:left="1440"/>
      <w:jc w:val="both"/>
    </w:pPr>
    <w:rPr>
      <w:rFonts w:eastAsia="Times New Roman"/>
      <w:szCs w:val="24"/>
    </w:rPr>
  </w:style>
  <w:style w:type="character" w:customStyle="1" w:styleId="BodyTextIndent2Char">
    <w:name w:val="Body Text Indent 2 Char"/>
    <w:link w:val="BodyTextIndent2"/>
    <w:rsid w:val="005E7FC9"/>
    <w:rPr>
      <w:rFonts w:ascii="Times New Roman" w:eastAsia="Times New Roman" w:hAnsi="Times New Roman" w:cs="Times New Roman"/>
      <w:sz w:val="24"/>
      <w:szCs w:val="24"/>
    </w:rPr>
  </w:style>
  <w:style w:type="paragraph" w:styleId="BodyTextIndent3">
    <w:name w:val="Body Text Indent 3"/>
    <w:basedOn w:val="Normal"/>
    <w:link w:val="BodyTextIndent3Char"/>
    <w:rsid w:val="005E7FC9"/>
    <w:pPr>
      <w:spacing w:line="720" w:lineRule="auto"/>
      <w:ind w:left="1440"/>
      <w:jc w:val="both"/>
    </w:pPr>
    <w:rPr>
      <w:rFonts w:eastAsia="Times New Roman"/>
      <w:szCs w:val="16"/>
    </w:rPr>
  </w:style>
  <w:style w:type="character" w:customStyle="1" w:styleId="BodyTextIndent3Char">
    <w:name w:val="Body Text Indent 3 Char"/>
    <w:link w:val="BodyTextIndent3"/>
    <w:rsid w:val="005E7FC9"/>
    <w:rPr>
      <w:rFonts w:ascii="Times New Roman" w:eastAsia="Times New Roman" w:hAnsi="Times New Roman" w:cs="Times New Roman"/>
      <w:sz w:val="24"/>
      <w:szCs w:val="16"/>
    </w:rPr>
  </w:style>
  <w:style w:type="character" w:styleId="BookTitle">
    <w:name w:val="Book Title"/>
    <w:basedOn w:val="DefaultParagraphFont"/>
    <w:uiPriority w:val="33"/>
    <w:rsid w:val="000419AC"/>
    <w:rPr>
      <w:b/>
      <w:bCs/>
      <w:smallCaps/>
      <w:spacing w:val="5"/>
    </w:rPr>
  </w:style>
  <w:style w:type="paragraph" w:styleId="Caption">
    <w:name w:val="caption"/>
    <w:basedOn w:val="Normal"/>
    <w:next w:val="Normal"/>
    <w:uiPriority w:val="35"/>
    <w:semiHidden/>
    <w:unhideWhenUsed/>
    <w:rsid w:val="000419AC"/>
    <w:rPr>
      <w:b/>
      <w:bCs/>
      <w:color w:val="4F81BD" w:themeColor="accent1"/>
      <w:sz w:val="18"/>
      <w:szCs w:val="18"/>
    </w:rPr>
  </w:style>
  <w:style w:type="paragraph" w:styleId="Closing">
    <w:name w:val="Closing"/>
    <w:basedOn w:val="Normal"/>
    <w:link w:val="ClosingChar"/>
    <w:uiPriority w:val="99"/>
    <w:semiHidden/>
    <w:unhideWhenUsed/>
    <w:rsid w:val="000419AC"/>
    <w:pPr>
      <w:ind w:left="4320"/>
    </w:pPr>
  </w:style>
  <w:style w:type="character" w:customStyle="1" w:styleId="ClosingChar">
    <w:name w:val="Closing Char"/>
    <w:basedOn w:val="DefaultParagraphFont"/>
    <w:link w:val="Closing"/>
    <w:uiPriority w:val="99"/>
    <w:semiHidden/>
    <w:rsid w:val="000419AC"/>
  </w:style>
  <w:style w:type="character" w:styleId="CommentReference">
    <w:name w:val="annotation reference"/>
    <w:basedOn w:val="DefaultParagraphFont"/>
    <w:uiPriority w:val="99"/>
    <w:semiHidden/>
    <w:unhideWhenUsed/>
    <w:rsid w:val="000419AC"/>
    <w:rPr>
      <w:sz w:val="16"/>
      <w:szCs w:val="16"/>
    </w:rPr>
  </w:style>
  <w:style w:type="paragraph" w:styleId="CommentText">
    <w:name w:val="annotation text"/>
    <w:basedOn w:val="Normal"/>
    <w:link w:val="CommentTextChar"/>
    <w:uiPriority w:val="99"/>
    <w:semiHidden/>
    <w:unhideWhenUsed/>
    <w:rsid w:val="000419AC"/>
    <w:rPr>
      <w:sz w:val="20"/>
      <w:szCs w:val="20"/>
    </w:rPr>
  </w:style>
  <w:style w:type="character" w:customStyle="1" w:styleId="CommentTextChar">
    <w:name w:val="Comment Text Char"/>
    <w:basedOn w:val="DefaultParagraphFont"/>
    <w:link w:val="CommentText"/>
    <w:uiPriority w:val="99"/>
    <w:semiHidden/>
    <w:rsid w:val="000419AC"/>
    <w:rPr>
      <w:sz w:val="20"/>
      <w:szCs w:val="20"/>
    </w:rPr>
  </w:style>
  <w:style w:type="paragraph" w:styleId="CommentSubject">
    <w:name w:val="annotation subject"/>
    <w:basedOn w:val="CommentText"/>
    <w:next w:val="CommentText"/>
    <w:link w:val="CommentSubjectChar"/>
    <w:uiPriority w:val="99"/>
    <w:semiHidden/>
    <w:unhideWhenUsed/>
    <w:rsid w:val="000419AC"/>
    <w:rPr>
      <w:b/>
      <w:bCs/>
    </w:rPr>
  </w:style>
  <w:style w:type="character" w:customStyle="1" w:styleId="CommentSubjectChar">
    <w:name w:val="Comment Subject Char"/>
    <w:basedOn w:val="CommentTextChar"/>
    <w:link w:val="CommentSubject"/>
    <w:uiPriority w:val="99"/>
    <w:semiHidden/>
    <w:rsid w:val="000419AC"/>
    <w:rPr>
      <w:b/>
      <w:bCs/>
      <w:sz w:val="20"/>
      <w:szCs w:val="20"/>
    </w:rPr>
  </w:style>
  <w:style w:type="paragraph" w:styleId="Date">
    <w:name w:val="Date"/>
    <w:basedOn w:val="Normal"/>
    <w:next w:val="Normal"/>
    <w:link w:val="DateChar"/>
    <w:semiHidden/>
    <w:rsid w:val="005E7FC9"/>
    <w:pPr>
      <w:jc w:val="both"/>
    </w:pPr>
    <w:rPr>
      <w:rFonts w:eastAsia="Times New Roman"/>
      <w:szCs w:val="24"/>
    </w:rPr>
  </w:style>
  <w:style w:type="character" w:customStyle="1" w:styleId="DateChar">
    <w:name w:val="Date Char"/>
    <w:link w:val="Date"/>
    <w:semiHidden/>
    <w:rsid w:val="005E7FC9"/>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419AC"/>
    <w:rPr>
      <w:rFonts w:ascii="Tahoma" w:hAnsi="Tahoma" w:cs="Tahoma"/>
      <w:sz w:val="16"/>
      <w:szCs w:val="16"/>
    </w:rPr>
  </w:style>
  <w:style w:type="character" w:customStyle="1" w:styleId="DocumentMapChar">
    <w:name w:val="Document Map Char"/>
    <w:basedOn w:val="DefaultParagraphFont"/>
    <w:link w:val="DocumentMap"/>
    <w:uiPriority w:val="99"/>
    <w:semiHidden/>
    <w:rsid w:val="000419AC"/>
    <w:rPr>
      <w:rFonts w:ascii="Tahoma" w:hAnsi="Tahoma" w:cs="Tahoma"/>
      <w:sz w:val="16"/>
      <w:szCs w:val="16"/>
    </w:rPr>
  </w:style>
  <w:style w:type="paragraph" w:styleId="E-mailSignature">
    <w:name w:val="E-mail Signature"/>
    <w:basedOn w:val="Normal"/>
    <w:link w:val="E-mailSignatureChar"/>
    <w:uiPriority w:val="99"/>
    <w:semiHidden/>
    <w:unhideWhenUsed/>
    <w:rsid w:val="000419AC"/>
  </w:style>
  <w:style w:type="character" w:customStyle="1" w:styleId="E-mailSignatureChar">
    <w:name w:val="E-mail Signature Char"/>
    <w:basedOn w:val="DefaultParagraphFont"/>
    <w:link w:val="E-mailSignature"/>
    <w:uiPriority w:val="99"/>
    <w:semiHidden/>
    <w:rsid w:val="000419AC"/>
  </w:style>
  <w:style w:type="character" w:styleId="Emphasis">
    <w:name w:val="Emphasis"/>
    <w:basedOn w:val="DefaultParagraphFont"/>
    <w:uiPriority w:val="20"/>
    <w:rsid w:val="000419AC"/>
    <w:rPr>
      <w:i/>
      <w:iCs/>
    </w:rPr>
  </w:style>
  <w:style w:type="character" w:styleId="EndnoteReference">
    <w:name w:val="endnote reference"/>
    <w:rsid w:val="005E7FC9"/>
    <w:rPr>
      <w:vertAlign w:val="superscript"/>
    </w:rPr>
  </w:style>
  <w:style w:type="paragraph" w:styleId="EndnoteText">
    <w:name w:val="endnote text"/>
    <w:basedOn w:val="Normal"/>
    <w:link w:val="EndnoteTextChar"/>
    <w:autoRedefine/>
    <w:rsid w:val="005E7FC9"/>
    <w:pPr>
      <w:spacing w:after="100" w:afterAutospacing="1"/>
      <w:ind w:firstLine="720"/>
      <w:jc w:val="both"/>
    </w:pPr>
    <w:rPr>
      <w:rFonts w:eastAsia="Times New Roman"/>
      <w:szCs w:val="20"/>
    </w:rPr>
  </w:style>
  <w:style w:type="character" w:customStyle="1" w:styleId="EndnoteTextChar">
    <w:name w:val="Endnote Text Char"/>
    <w:link w:val="EndnoteText"/>
    <w:rsid w:val="005E7FC9"/>
    <w:rPr>
      <w:rFonts w:ascii="Times New Roman" w:eastAsia="Times New Roman" w:hAnsi="Times New Roman" w:cs="Times New Roman"/>
      <w:sz w:val="24"/>
      <w:szCs w:val="20"/>
    </w:rPr>
  </w:style>
  <w:style w:type="paragraph" w:styleId="EnvelopeAddress">
    <w:name w:val="envelope address"/>
    <w:basedOn w:val="Normal"/>
    <w:rsid w:val="005E7FC9"/>
    <w:pPr>
      <w:framePr w:w="7920" w:h="1980" w:hRule="exact" w:hSpace="180" w:wrap="auto" w:hAnchor="page" w:xAlign="center" w:yAlign="bottom"/>
      <w:ind w:left="2880"/>
    </w:pPr>
    <w:rPr>
      <w:rFonts w:eastAsia="Times New Roman" w:cs="Arial"/>
      <w:szCs w:val="24"/>
    </w:rPr>
  </w:style>
  <w:style w:type="paragraph" w:styleId="EnvelopeReturn">
    <w:name w:val="envelope return"/>
    <w:basedOn w:val="Normal"/>
    <w:rsid w:val="005E7FC9"/>
    <w:rPr>
      <w:rFonts w:eastAsia="Times New Roman" w:cs="Arial"/>
      <w:szCs w:val="20"/>
    </w:rPr>
  </w:style>
  <w:style w:type="character" w:styleId="FollowedHyperlink">
    <w:name w:val="FollowedHyperlink"/>
    <w:basedOn w:val="DefaultParagraphFont"/>
    <w:uiPriority w:val="99"/>
    <w:semiHidden/>
    <w:unhideWhenUsed/>
    <w:rsid w:val="000419AC"/>
    <w:rPr>
      <w:color w:val="800080" w:themeColor="followedHyperlink"/>
      <w:u w:val="single"/>
    </w:rPr>
  </w:style>
  <w:style w:type="paragraph" w:styleId="Footer">
    <w:name w:val="footer"/>
    <w:basedOn w:val="Normal"/>
    <w:link w:val="FooterChar"/>
    <w:uiPriority w:val="99"/>
    <w:rsid w:val="005E7FC9"/>
    <w:pPr>
      <w:tabs>
        <w:tab w:val="center" w:pos="4680"/>
        <w:tab w:val="right" w:pos="9360"/>
      </w:tabs>
      <w:jc w:val="both"/>
    </w:pPr>
    <w:rPr>
      <w:rFonts w:eastAsia="Times New Roman"/>
      <w:szCs w:val="24"/>
    </w:rPr>
  </w:style>
  <w:style w:type="character" w:customStyle="1" w:styleId="FooterChar">
    <w:name w:val="Footer Char"/>
    <w:link w:val="Footer"/>
    <w:uiPriority w:val="99"/>
    <w:rsid w:val="005E7FC9"/>
    <w:rPr>
      <w:rFonts w:ascii="Times New Roman" w:eastAsia="Times New Roman" w:hAnsi="Times New Roman" w:cs="Times New Roman"/>
      <w:sz w:val="24"/>
      <w:szCs w:val="24"/>
    </w:rPr>
  </w:style>
  <w:style w:type="character" w:styleId="FootnoteReference">
    <w:name w:val="footnote reference"/>
    <w:rsid w:val="005E7FC9"/>
    <w:rPr>
      <w:vertAlign w:val="superscript"/>
    </w:rPr>
  </w:style>
  <w:style w:type="paragraph" w:styleId="FootnoteText">
    <w:name w:val="footnote text"/>
    <w:basedOn w:val="Normal"/>
    <w:link w:val="FootnoteTextChar"/>
    <w:rsid w:val="005E7FC9"/>
    <w:pPr>
      <w:jc w:val="both"/>
    </w:pPr>
    <w:rPr>
      <w:rFonts w:eastAsia="Times New Roman"/>
      <w:sz w:val="20"/>
      <w:szCs w:val="20"/>
    </w:rPr>
  </w:style>
  <w:style w:type="character" w:customStyle="1" w:styleId="FootnoteTextChar">
    <w:name w:val="Footnote Text Char"/>
    <w:link w:val="FootnoteText"/>
    <w:rsid w:val="005E7FC9"/>
    <w:rPr>
      <w:rFonts w:ascii="Times New Roman" w:eastAsia="Times New Roman" w:hAnsi="Times New Roman" w:cs="Times New Roman"/>
      <w:sz w:val="20"/>
      <w:szCs w:val="20"/>
    </w:rPr>
  </w:style>
  <w:style w:type="paragraph" w:styleId="Header">
    <w:name w:val="header"/>
    <w:basedOn w:val="Normal"/>
    <w:link w:val="HeaderChar"/>
    <w:rsid w:val="005E7FC9"/>
    <w:pPr>
      <w:tabs>
        <w:tab w:val="center" w:pos="4680"/>
        <w:tab w:val="right" w:pos="9360"/>
      </w:tabs>
      <w:jc w:val="both"/>
    </w:pPr>
    <w:rPr>
      <w:rFonts w:eastAsia="Times New Roman"/>
      <w:szCs w:val="24"/>
    </w:rPr>
  </w:style>
  <w:style w:type="character" w:customStyle="1" w:styleId="HeaderChar">
    <w:name w:val="Header Char"/>
    <w:link w:val="Header"/>
    <w:rsid w:val="005E7FC9"/>
    <w:rPr>
      <w:rFonts w:ascii="Times New Roman" w:eastAsia="Times New Roman" w:hAnsi="Times New Roman" w:cs="Times New Roman"/>
      <w:sz w:val="24"/>
      <w:szCs w:val="24"/>
    </w:rPr>
  </w:style>
  <w:style w:type="character" w:customStyle="1" w:styleId="Heading1Char">
    <w:name w:val="Heading 1 Char"/>
    <w:link w:val="Heading1"/>
    <w:rsid w:val="005E7FC9"/>
    <w:rPr>
      <w:rFonts w:ascii="Times New Roman" w:eastAsia="Times New Roman" w:hAnsi="Times New Roman" w:cs="Times New Roman"/>
      <w:bCs/>
      <w:sz w:val="24"/>
      <w:szCs w:val="24"/>
    </w:rPr>
  </w:style>
  <w:style w:type="character" w:customStyle="1" w:styleId="Heading2Char">
    <w:name w:val="Heading 2 Char"/>
    <w:link w:val="Heading2"/>
    <w:rsid w:val="005E7FC9"/>
    <w:rPr>
      <w:rFonts w:ascii="Times New Roman" w:eastAsia="Times New Roman" w:hAnsi="Times New Roman" w:cs="Times New Roman"/>
      <w:bCs/>
      <w:iCs/>
      <w:sz w:val="24"/>
      <w:szCs w:val="28"/>
    </w:rPr>
  </w:style>
  <w:style w:type="character" w:customStyle="1" w:styleId="Heading3Char">
    <w:name w:val="Heading 3 Char"/>
    <w:link w:val="Heading3"/>
    <w:rsid w:val="005E7FC9"/>
    <w:rPr>
      <w:rFonts w:ascii="Times New Roman" w:eastAsia="Times New Roman" w:hAnsi="Times New Roman" w:cs="Times New Roman"/>
      <w:bCs/>
      <w:sz w:val="24"/>
      <w:szCs w:val="24"/>
    </w:rPr>
  </w:style>
  <w:style w:type="character" w:customStyle="1" w:styleId="Heading4Char">
    <w:name w:val="Heading 4 Char"/>
    <w:link w:val="Heading4"/>
    <w:rsid w:val="005E7FC9"/>
    <w:rPr>
      <w:rFonts w:ascii="Times New Roman" w:eastAsia="Times New Roman" w:hAnsi="Times New Roman" w:cs="Times New Roman"/>
      <w:bCs/>
      <w:sz w:val="24"/>
      <w:szCs w:val="24"/>
    </w:rPr>
  </w:style>
  <w:style w:type="character" w:customStyle="1" w:styleId="Heading5Char">
    <w:name w:val="Heading 5 Char"/>
    <w:link w:val="Heading5"/>
    <w:rsid w:val="005E7FC9"/>
    <w:rPr>
      <w:rFonts w:ascii="Times New Roman" w:eastAsia="Times New Roman" w:hAnsi="Times New Roman" w:cs="Times New Roman"/>
      <w:bCs/>
      <w:iCs/>
      <w:sz w:val="24"/>
      <w:szCs w:val="26"/>
    </w:rPr>
  </w:style>
  <w:style w:type="character" w:customStyle="1" w:styleId="Heading6Char">
    <w:name w:val="Heading 6 Char"/>
    <w:link w:val="Heading6"/>
    <w:rsid w:val="005E7FC9"/>
    <w:rPr>
      <w:rFonts w:ascii="Times New Roman" w:eastAsia="Times New Roman" w:hAnsi="Times New Roman" w:cs="Times New Roman"/>
      <w:bCs/>
      <w:sz w:val="24"/>
      <w:szCs w:val="24"/>
    </w:rPr>
  </w:style>
  <w:style w:type="character" w:customStyle="1" w:styleId="Heading7Char">
    <w:name w:val="Heading 7 Char"/>
    <w:link w:val="Heading7"/>
    <w:rsid w:val="005E7FC9"/>
    <w:rPr>
      <w:rFonts w:ascii="Times New Roman" w:eastAsia="Times New Roman" w:hAnsi="Times New Roman" w:cs="Times New Roman"/>
      <w:sz w:val="24"/>
      <w:szCs w:val="24"/>
    </w:rPr>
  </w:style>
  <w:style w:type="character" w:customStyle="1" w:styleId="Heading8Char">
    <w:name w:val="Heading 8 Char"/>
    <w:link w:val="Heading8"/>
    <w:rsid w:val="005E7FC9"/>
    <w:rPr>
      <w:rFonts w:ascii="Times New Roman" w:eastAsia="Times New Roman" w:hAnsi="Times New Roman" w:cs="Times New Roman"/>
      <w:iCs/>
      <w:sz w:val="24"/>
      <w:szCs w:val="24"/>
    </w:rPr>
  </w:style>
  <w:style w:type="character" w:customStyle="1" w:styleId="Heading9Char">
    <w:name w:val="Heading 9 Char"/>
    <w:link w:val="Heading9"/>
    <w:rsid w:val="005E7FC9"/>
    <w:rPr>
      <w:rFonts w:ascii="Times New Roman" w:eastAsia="Times New Roman" w:hAnsi="Times New Roman" w:cs="Times New Roman"/>
      <w:sz w:val="24"/>
    </w:rPr>
  </w:style>
  <w:style w:type="character" w:styleId="HTMLAcronym">
    <w:name w:val="HTML Acronym"/>
    <w:basedOn w:val="DefaultParagraphFont"/>
    <w:uiPriority w:val="99"/>
    <w:semiHidden/>
    <w:unhideWhenUsed/>
    <w:rsid w:val="000419AC"/>
  </w:style>
  <w:style w:type="paragraph" w:styleId="HTMLAddress">
    <w:name w:val="HTML Address"/>
    <w:basedOn w:val="Normal"/>
    <w:link w:val="HTMLAddressChar"/>
    <w:uiPriority w:val="99"/>
    <w:semiHidden/>
    <w:unhideWhenUsed/>
    <w:rsid w:val="000419AC"/>
    <w:rPr>
      <w:i/>
      <w:iCs/>
    </w:rPr>
  </w:style>
  <w:style w:type="character" w:customStyle="1" w:styleId="HTMLAddressChar">
    <w:name w:val="HTML Address Char"/>
    <w:basedOn w:val="DefaultParagraphFont"/>
    <w:link w:val="HTMLAddress"/>
    <w:uiPriority w:val="99"/>
    <w:semiHidden/>
    <w:rsid w:val="000419AC"/>
    <w:rPr>
      <w:i/>
      <w:iCs/>
    </w:rPr>
  </w:style>
  <w:style w:type="character" w:styleId="HTMLCite">
    <w:name w:val="HTML Cite"/>
    <w:basedOn w:val="DefaultParagraphFont"/>
    <w:uiPriority w:val="99"/>
    <w:semiHidden/>
    <w:unhideWhenUsed/>
    <w:rsid w:val="000419AC"/>
    <w:rPr>
      <w:i/>
      <w:iCs/>
    </w:rPr>
  </w:style>
  <w:style w:type="character" w:styleId="HTMLCode">
    <w:name w:val="HTML Code"/>
    <w:basedOn w:val="DefaultParagraphFont"/>
    <w:uiPriority w:val="99"/>
    <w:semiHidden/>
    <w:unhideWhenUsed/>
    <w:rsid w:val="000419AC"/>
    <w:rPr>
      <w:rFonts w:ascii="Consolas" w:hAnsi="Consolas"/>
      <w:sz w:val="20"/>
      <w:szCs w:val="20"/>
    </w:rPr>
  </w:style>
  <w:style w:type="character" w:styleId="HTMLDefinition">
    <w:name w:val="HTML Definition"/>
    <w:basedOn w:val="DefaultParagraphFont"/>
    <w:uiPriority w:val="99"/>
    <w:semiHidden/>
    <w:unhideWhenUsed/>
    <w:rsid w:val="000419AC"/>
    <w:rPr>
      <w:i/>
      <w:iCs/>
    </w:rPr>
  </w:style>
  <w:style w:type="character" w:styleId="HTMLKeyboard">
    <w:name w:val="HTML Keyboard"/>
    <w:basedOn w:val="DefaultParagraphFont"/>
    <w:uiPriority w:val="99"/>
    <w:semiHidden/>
    <w:unhideWhenUsed/>
    <w:rsid w:val="000419AC"/>
    <w:rPr>
      <w:rFonts w:ascii="Consolas" w:hAnsi="Consolas"/>
      <w:sz w:val="20"/>
      <w:szCs w:val="20"/>
    </w:rPr>
  </w:style>
  <w:style w:type="paragraph" w:styleId="HTMLPreformatted">
    <w:name w:val="HTML Preformatted"/>
    <w:basedOn w:val="Normal"/>
    <w:link w:val="HTMLPreformattedChar"/>
    <w:uiPriority w:val="99"/>
    <w:semiHidden/>
    <w:unhideWhenUsed/>
    <w:rsid w:val="000419A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19AC"/>
    <w:rPr>
      <w:rFonts w:ascii="Consolas" w:hAnsi="Consolas"/>
      <w:sz w:val="20"/>
      <w:szCs w:val="20"/>
    </w:rPr>
  </w:style>
  <w:style w:type="character" w:styleId="HTMLSample">
    <w:name w:val="HTML Sample"/>
    <w:basedOn w:val="DefaultParagraphFont"/>
    <w:uiPriority w:val="99"/>
    <w:semiHidden/>
    <w:unhideWhenUsed/>
    <w:rsid w:val="000419AC"/>
    <w:rPr>
      <w:rFonts w:ascii="Consolas" w:hAnsi="Consolas"/>
      <w:sz w:val="24"/>
      <w:szCs w:val="24"/>
    </w:rPr>
  </w:style>
  <w:style w:type="character" w:styleId="HTMLTypewriter">
    <w:name w:val="HTML Typewriter"/>
    <w:basedOn w:val="DefaultParagraphFont"/>
    <w:uiPriority w:val="99"/>
    <w:semiHidden/>
    <w:unhideWhenUsed/>
    <w:rsid w:val="000419AC"/>
    <w:rPr>
      <w:rFonts w:ascii="Consolas" w:hAnsi="Consolas"/>
      <w:sz w:val="20"/>
      <w:szCs w:val="20"/>
    </w:rPr>
  </w:style>
  <w:style w:type="character" w:styleId="HTMLVariable">
    <w:name w:val="HTML Variable"/>
    <w:basedOn w:val="DefaultParagraphFont"/>
    <w:uiPriority w:val="99"/>
    <w:semiHidden/>
    <w:unhideWhenUsed/>
    <w:rsid w:val="000419AC"/>
    <w:rPr>
      <w:i/>
      <w:iCs/>
    </w:rPr>
  </w:style>
  <w:style w:type="character" w:styleId="Hyperlink">
    <w:name w:val="Hyperlink"/>
    <w:basedOn w:val="DefaultParagraphFont"/>
    <w:uiPriority w:val="99"/>
    <w:unhideWhenUsed/>
    <w:rsid w:val="000419AC"/>
    <w:rPr>
      <w:color w:val="0000FF" w:themeColor="hyperlink"/>
      <w:u w:val="single"/>
    </w:rPr>
  </w:style>
  <w:style w:type="paragraph" w:styleId="Index1">
    <w:name w:val="index 1"/>
    <w:basedOn w:val="Normal"/>
    <w:autoRedefine/>
    <w:rsid w:val="005E7FC9"/>
    <w:pPr>
      <w:ind w:left="245" w:hanging="245"/>
      <w:jc w:val="both"/>
    </w:pPr>
    <w:rPr>
      <w:rFonts w:eastAsia="Times New Roman"/>
      <w:szCs w:val="24"/>
    </w:rPr>
  </w:style>
  <w:style w:type="paragraph" w:styleId="Index2">
    <w:name w:val="index 2"/>
    <w:basedOn w:val="Index1"/>
    <w:autoRedefine/>
    <w:rsid w:val="005E7FC9"/>
    <w:pPr>
      <w:ind w:left="490"/>
    </w:pPr>
  </w:style>
  <w:style w:type="paragraph" w:styleId="Index3">
    <w:name w:val="index 3"/>
    <w:basedOn w:val="Index1"/>
    <w:autoRedefine/>
    <w:rsid w:val="005E7FC9"/>
    <w:pPr>
      <w:ind w:left="720"/>
    </w:pPr>
  </w:style>
  <w:style w:type="paragraph" w:styleId="Index4">
    <w:name w:val="index 4"/>
    <w:basedOn w:val="Index1"/>
    <w:autoRedefine/>
    <w:rsid w:val="005E7FC9"/>
    <w:pPr>
      <w:ind w:left="960" w:hanging="240"/>
    </w:pPr>
  </w:style>
  <w:style w:type="paragraph" w:styleId="Index5">
    <w:name w:val="index 5"/>
    <w:basedOn w:val="Index1"/>
    <w:autoRedefine/>
    <w:rsid w:val="005E7FC9"/>
    <w:pPr>
      <w:ind w:left="1200" w:hanging="240"/>
    </w:pPr>
  </w:style>
  <w:style w:type="paragraph" w:styleId="Index6">
    <w:name w:val="index 6"/>
    <w:basedOn w:val="Index1"/>
    <w:autoRedefine/>
    <w:rsid w:val="005E7FC9"/>
    <w:pPr>
      <w:ind w:left="1440" w:hanging="240"/>
    </w:pPr>
  </w:style>
  <w:style w:type="paragraph" w:styleId="Index7">
    <w:name w:val="index 7"/>
    <w:basedOn w:val="Index1"/>
    <w:autoRedefine/>
    <w:rsid w:val="005E7FC9"/>
    <w:pPr>
      <w:ind w:left="1680" w:hanging="240"/>
    </w:pPr>
  </w:style>
  <w:style w:type="paragraph" w:styleId="Index8">
    <w:name w:val="index 8"/>
    <w:basedOn w:val="Index1"/>
    <w:autoRedefine/>
    <w:rsid w:val="005E7FC9"/>
    <w:pPr>
      <w:ind w:left="1920" w:hanging="240"/>
    </w:pPr>
  </w:style>
  <w:style w:type="paragraph" w:styleId="Index9">
    <w:name w:val="index 9"/>
    <w:basedOn w:val="Index1"/>
    <w:autoRedefine/>
    <w:rsid w:val="005E7FC9"/>
    <w:pPr>
      <w:ind w:left="2160" w:hanging="240"/>
    </w:pPr>
  </w:style>
  <w:style w:type="paragraph" w:styleId="IndexHeading">
    <w:name w:val="index heading"/>
    <w:basedOn w:val="Normal"/>
    <w:next w:val="Index1"/>
    <w:rsid w:val="005E7FC9"/>
    <w:pPr>
      <w:jc w:val="both"/>
    </w:pPr>
    <w:rPr>
      <w:rFonts w:eastAsia="Times New Roman" w:cs="Arial"/>
      <w:b/>
      <w:bCs/>
      <w:szCs w:val="24"/>
    </w:rPr>
  </w:style>
  <w:style w:type="character" w:styleId="IntenseEmphasis">
    <w:name w:val="Intense Emphasis"/>
    <w:basedOn w:val="DefaultParagraphFont"/>
    <w:uiPriority w:val="21"/>
    <w:rsid w:val="000419AC"/>
    <w:rPr>
      <w:b/>
      <w:bCs/>
      <w:i/>
      <w:iCs/>
      <w:color w:val="4F81BD" w:themeColor="accent1"/>
    </w:rPr>
  </w:style>
  <w:style w:type="paragraph" w:styleId="IntenseQuote">
    <w:name w:val="Intense Quote"/>
    <w:basedOn w:val="Normal"/>
    <w:next w:val="Normal"/>
    <w:link w:val="IntenseQuoteChar"/>
    <w:uiPriority w:val="30"/>
    <w:rsid w:val="000419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19AC"/>
    <w:rPr>
      <w:b/>
      <w:bCs/>
      <w:i/>
      <w:iCs/>
      <w:color w:val="4F81BD" w:themeColor="accent1"/>
    </w:rPr>
  </w:style>
  <w:style w:type="character" w:styleId="IntenseReference">
    <w:name w:val="Intense Reference"/>
    <w:basedOn w:val="DefaultParagraphFont"/>
    <w:uiPriority w:val="32"/>
    <w:rsid w:val="000419AC"/>
    <w:rPr>
      <w:b/>
      <w:bCs/>
      <w:smallCaps/>
      <w:color w:val="C0504D" w:themeColor="accent2"/>
      <w:spacing w:val="5"/>
      <w:u w:val="single"/>
    </w:rPr>
  </w:style>
  <w:style w:type="character" w:styleId="LineNumber">
    <w:name w:val="line number"/>
    <w:basedOn w:val="DefaultParagraphFont"/>
    <w:uiPriority w:val="99"/>
    <w:semiHidden/>
    <w:unhideWhenUsed/>
    <w:rsid w:val="000419AC"/>
  </w:style>
  <w:style w:type="paragraph" w:styleId="List">
    <w:name w:val="List"/>
    <w:basedOn w:val="Normal"/>
    <w:uiPriority w:val="99"/>
    <w:semiHidden/>
    <w:unhideWhenUsed/>
    <w:rsid w:val="000419AC"/>
    <w:pPr>
      <w:ind w:left="360" w:hanging="360"/>
      <w:contextualSpacing/>
    </w:pPr>
  </w:style>
  <w:style w:type="paragraph" w:styleId="List2">
    <w:name w:val="List 2"/>
    <w:basedOn w:val="Normal"/>
    <w:uiPriority w:val="99"/>
    <w:semiHidden/>
    <w:unhideWhenUsed/>
    <w:rsid w:val="000419AC"/>
    <w:pPr>
      <w:ind w:left="720" w:hanging="360"/>
      <w:contextualSpacing/>
    </w:pPr>
  </w:style>
  <w:style w:type="paragraph" w:styleId="List3">
    <w:name w:val="List 3"/>
    <w:basedOn w:val="Normal"/>
    <w:uiPriority w:val="99"/>
    <w:semiHidden/>
    <w:unhideWhenUsed/>
    <w:rsid w:val="000419AC"/>
    <w:pPr>
      <w:ind w:left="1080" w:hanging="360"/>
      <w:contextualSpacing/>
    </w:pPr>
  </w:style>
  <w:style w:type="paragraph" w:styleId="List4">
    <w:name w:val="List 4"/>
    <w:basedOn w:val="Normal"/>
    <w:uiPriority w:val="99"/>
    <w:semiHidden/>
    <w:unhideWhenUsed/>
    <w:rsid w:val="000419AC"/>
    <w:pPr>
      <w:ind w:left="1440" w:hanging="360"/>
      <w:contextualSpacing/>
    </w:pPr>
  </w:style>
  <w:style w:type="paragraph" w:styleId="List5">
    <w:name w:val="List 5"/>
    <w:basedOn w:val="Normal"/>
    <w:uiPriority w:val="99"/>
    <w:semiHidden/>
    <w:unhideWhenUsed/>
    <w:rsid w:val="000419AC"/>
    <w:pPr>
      <w:ind w:left="1800" w:hanging="360"/>
      <w:contextualSpacing/>
    </w:pPr>
  </w:style>
  <w:style w:type="paragraph" w:styleId="ListBullet">
    <w:name w:val="List Bullet"/>
    <w:basedOn w:val="Normal"/>
    <w:rsid w:val="005E7FC9"/>
    <w:pPr>
      <w:numPr>
        <w:numId w:val="1"/>
      </w:numPr>
      <w:jc w:val="both"/>
    </w:pPr>
    <w:rPr>
      <w:rFonts w:eastAsia="Times New Roman"/>
      <w:szCs w:val="24"/>
    </w:rPr>
  </w:style>
  <w:style w:type="paragraph" w:styleId="ListBullet2">
    <w:name w:val="List Bullet 2"/>
    <w:basedOn w:val="ListBullet"/>
    <w:rsid w:val="005E7FC9"/>
    <w:pPr>
      <w:numPr>
        <w:numId w:val="2"/>
      </w:numPr>
    </w:pPr>
  </w:style>
  <w:style w:type="paragraph" w:styleId="ListBullet3">
    <w:name w:val="List Bullet 3"/>
    <w:basedOn w:val="ListBullet"/>
    <w:rsid w:val="005E7FC9"/>
    <w:pPr>
      <w:numPr>
        <w:numId w:val="3"/>
      </w:numPr>
    </w:pPr>
  </w:style>
  <w:style w:type="paragraph" w:styleId="ListBullet4">
    <w:name w:val="List Bullet 4"/>
    <w:basedOn w:val="ListBullet"/>
    <w:rsid w:val="005E7FC9"/>
    <w:pPr>
      <w:numPr>
        <w:numId w:val="4"/>
      </w:numPr>
    </w:pPr>
  </w:style>
  <w:style w:type="paragraph" w:styleId="ListBullet5">
    <w:name w:val="List Bullet 5"/>
    <w:basedOn w:val="ListBullet"/>
    <w:rsid w:val="005E7FC9"/>
    <w:pPr>
      <w:numPr>
        <w:numId w:val="5"/>
      </w:numPr>
    </w:pPr>
  </w:style>
  <w:style w:type="paragraph" w:styleId="ListContinue">
    <w:name w:val="List Continue"/>
    <w:basedOn w:val="Normal"/>
    <w:rsid w:val="005E7FC9"/>
    <w:pPr>
      <w:spacing w:after="120"/>
      <w:ind w:left="360"/>
      <w:jc w:val="both"/>
    </w:pPr>
    <w:rPr>
      <w:rFonts w:eastAsia="Times New Roman"/>
      <w:szCs w:val="24"/>
    </w:rPr>
  </w:style>
  <w:style w:type="paragraph" w:styleId="ListContinue2">
    <w:name w:val="List Continue 2"/>
    <w:basedOn w:val="Normal"/>
    <w:rsid w:val="005E7FC9"/>
    <w:pPr>
      <w:spacing w:after="120"/>
      <w:ind w:left="720"/>
      <w:jc w:val="both"/>
    </w:pPr>
    <w:rPr>
      <w:rFonts w:eastAsia="Times New Roman"/>
      <w:szCs w:val="24"/>
    </w:rPr>
  </w:style>
  <w:style w:type="paragraph" w:styleId="ListContinue3">
    <w:name w:val="List Continue 3"/>
    <w:basedOn w:val="Normal"/>
    <w:rsid w:val="005E7FC9"/>
    <w:pPr>
      <w:spacing w:after="120"/>
      <w:ind w:left="1080"/>
      <w:jc w:val="both"/>
    </w:pPr>
    <w:rPr>
      <w:rFonts w:eastAsia="Times New Roman"/>
      <w:szCs w:val="24"/>
    </w:rPr>
  </w:style>
  <w:style w:type="paragraph" w:styleId="ListContinue4">
    <w:name w:val="List Continue 4"/>
    <w:basedOn w:val="Normal"/>
    <w:rsid w:val="005E7FC9"/>
    <w:pPr>
      <w:spacing w:after="120"/>
      <w:ind w:left="1440"/>
      <w:jc w:val="both"/>
    </w:pPr>
    <w:rPr>
      <w:rFonts w:eastAsia="Times New Roman"/>
      <w:szCs w:val="24"/>
    </w:rPr>
  </w:style>
  <w:style w:type="paragraph" w:styleId="ListContinue5">
    <w:name w:val="List Continue 5"/>
    <w:basedOn w:val="Normal"/>
    <w:rsid w:val="005E7FC9"/>
    <w:pPr>
      <w:spacing w:after="120"/>
      <w:ind w:left="1800"/>
      <w:jc w:val="both"/>
    </w:pPr>
    <w:rPr>
      <w:rFonts w:eastAsia="Times New Roman"/>
      <w:szCs w:val="24"/>
    </w:rPr>
  </w:style>
  <w:style w:type="paragraph" w:styleId="ListNumber">
    <w:name w:val="List Number"/>
    <w:basedOn w:val="Normal"/>
    <w:rsid w:val="005E7FC9"/>
    <w:pPr>
      <w:numPr>
        <w:numId w:val="6"/>
      </w:numPr>
      <w:jc w:val="both"/>
    </w:pPr>
    <w:rPr>
      <w:rFonts w:eastAsia="Times New Roman"/>
      <w:szCs w:val="24"/>
    </w:rPr>
  </w:style>
  <w:style w:type="paragraph" w:styleId="ListNumber2">
    <w:name w:val="List Number 2"/>
    <w:basedOn w:val="ListNumber"/>
    <w:rsid w:val="005E7FC9"/>
    <w:pPr>
      <w:numPr>
        <w:numId w:val="7"/>
      </w:numPr>
    </w:pPr>
  </w:style>
  <w:style w:type="paragraph" w:styleId="ListNumber3">
    <w:name w:val="List Number 3"/>
    <w:basedOn w:val="ListNumber"/>
    <w:rsid w:val="005E7FC9"/>
    <w:pPr>
      <w:numPr>
        <w:numId w:val="8"/>
      </w:numPr>
    </w:pPr>
  </w:style>
  <w:style w:type="paragraph" w:styleId="ListNumber4">
    <w:name w:val="List Number 4"/>
    <w:basedOn w:val="ListNumber"/>
    <w:rsid w:val="005E7FC9"/>
    <w:pPr>
      <w:numPr>
        <w:numId w:val="9"/>
      </w:numPr>
    </w:pPr>
  </w:style>
  <w:style w:type="paragraph" w:styleId="ListNumber5">
    <w:name w:val="List Number 5"/>
    <w:basedOn w:val="ListNumber"/>
    <w:rsid w:val="005E7FC9"/>
    <w:pPr>
      <w:numPr>
        <w:numId w:val="10"/>
      </w:numPr>
    </w:pPr>
  </w:style>
  <w:style w:type="paragraph" w:styleId="ListParagraph">
    <w:name w:val="List Paragraph"/>
    <w:basedOn w:val="Normal"/>
    <w:uiPriority w:val="34"/>
    <w:rsid w:val="000419AC"/>
    <w:pPr>
      <w:ind w:left="720"/>
      <w:contextualSpacing/>
    </w:pPr>
  </w:style>
  <w:style w:type="paragraph" w:styleId="MacroText">
    <w:name w:val="macro"/>
    <w:link w:val="MacroTextChar"/>
    <w:uiPriority w:val="99"/>
    <w:semiHidden/>
    <w:unhideWhenUsed/>
    <w:rsid w:val="000419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419AC"/>
    <w:rPr>
      <w:rFonts w:ascii="Consolas" w:hAnsi="Consolas"/>
      <w:sz w:val="20"/>
      <w:szCs w:val="20"/>
    </w:rPr>
  </w:style>
  <w:style w:type="paragraph" w:styleId="MessageHeader">
    <w:name w:val="Message Header"/>
    <w:basedOn w:val="Normal"/>
    <w:link w:val="MessageHeaderChar"/>
    <w:uiPriority w:val="99"/>
    <w:semiHidden/>
    <w:unhideWhenUsed/>
    <w:rsid w:val="000419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419AC"/>
    <w:rPr>
      <w:rFonts w:asciiTheme="majorHAnsi" w:eastAsiaTheme="majorEastAsia" w:hAnsiTheme="majorHAnsi" w:cstheme="majorBidi"/>
      <w:sz w:val="24"/>
      <w:szCs w:val="24"/>
      <w:shd w:val="pct20" w:color="auto" w:fill="auto"/>
    </w:rPr>
  </w:style>
  <w:style w:type="paragraph" w:styleId="NoSpacing">
    <w:name w:val="No Spacing"/>
    <w:uiPriority w:val="1"/>
    <w:rsid w:val="000419AC"/>
    <w:pPr>
      <w:spacing w:after="0" w:line="240" w:lineRule="auto"/>
    </w:pPr>
  </w:style>
  <w:style w:type="paragraph" w:styleId="NormalWeb">
    <w:name w:val="Normal (Web)"/>
    <w:basedOn w:val="Normal"/>
    <w:uiPriority w:val="99"/>
    <w:semiHidden/>
    <w:unhideWhenUsed/>
    <w:rsid w:val="000419AC"/>
    <w:rPr>
      <w:szCs w:val="24"/>
    </w:rPr>
  </w:style>
  <w:style w:type="paragraph" w:styleId="NormalIndent">
    <w:name w:val="Normal Indent"/>
    <w:basedOn w:val="Normal"/>
    <w:uiPriority w:val="99"/>
    <w:semiHidden/>
    <w:unhideWhenUsed/>
    <w:rsid w:val="000419AC"/>
    <w:pPr>
      <w:ind w:left="720"/>
    </w:pPr>
  </w:style>
  <w:style w:type="paragraph" w:styleId="NoteHeading">
    <w:name w:val="Note Heading"/>
    <w:basedOn w:val="Normal"/>
    <w:next w:val="Normal"/>
    <w:link w:val="NoteHeadingChar"/>
    <w:uiPriority w:val="99"/>
    <w:semiHidden/>
    <w:unhideWhenUsed/>
    <w:rsid w:val="000419AC"/>
  </w:style>
  <w:style w:type="character" w:customStyle="1" w:styleId="NoteHeadingChar">
    <w:name w:val="Note Heading Char"/>
    <w:basedOn w:val="DefaultParagraphFont"/>
    <w:link w:val="NoteHeading"/>
    <w:uiPriority w:val="99"/>
    <w:semiHidden/>
    <w:rsid w:val="000419AC"/>
  </w:style>
  <w:style w:type="character" w:styleId="PageNumber">
    <w:name w:val="page number"/>
    <w:basedOn w:val="DefaultParagraphFont"/>
    <w:uiPriority w:val="99"/>
    <w:semiHidden/>
    <w:unhideWhenUsed/>
    <w:rsid w:val="000419AC"/>
  </w:style>
  <w:style w:type="character" w:styleId="PlaceholderText">
    <w:name w:val="Placeholder Text"/>
    <w:basedOn w:val="DefaultParagraphFont"/>
    <w:uiPriority w:val="99"/>
    <w:semiHidden/>
    <w:rsid w:val="000419AC"/>
    <w:rPr>
      <w:color w:val="808080"/>
    </w:rPr>
  </w:style>
  <w:style w:type="paragraph" w:styleId="PlainText">
    <w:name w:val="Plain Text"/>
    <w:basedOn w:val="MCNormal"/>
    <w:link w:val="PlainTextChar"/>
    <w:uiPriority w:val="99"/>
    <w:unhideWhenUsed/>
    <w:rsid w:val="005E7FC9"/>
    <w:rPr>
      <w:rFonts w:cs="Consolas"/>
      <w:szCs w:val="21"/>
    </w:rPr>
  </w:style>
  <w:style w:type="character" w:customStyle="1" w:styleId="PlainTextChar">
    <w:name w:val="Plain Text Char"/>
    <w:link w:val="PlainText"/>
    <w:uiPriority w:val="99"/>
    <w:rsid w:val="005E7FC9"/>
    <w:rPr>
      <w:rFonts w:ascii="Times New Roman" w:hAnsi="Times New Roman" w:cs="Consolas"/>
      <w:sz w:val="24"/>
      <w:szCs w:val="21"/>
    </w:rPr>
  </w:style>
  <w:style w:type="paragraph" w:styleId="Quote">
    <w:name w:val="Quote"/>
    <w:basedOn w:val="Normal"/>
    <w:next w:val="Normal"/>
    <w:link w:val="QuoteChar"/>
    <w:uiPriority w:val="29"/>
    <w:rsid w:val="000419AC"/>
    <w:rPr>
      <w:i/>
      <w:iCs/>
      <w:color w:val="000000" w:themeColor="text1"/>
    </w:rPr>
  </w:style>
  <w:style w:type="character" w:customStyle="1" w:styleId="QuoteChar">
    <w:name w:val="Quote Char"/>
    <w:basedOn w:val="DefaultParagraphFont"/>
    <w:link w:val="Quote"/>
    <w:uiPriority w:val="29"/>
    <w:rsid w:val="000419AC"/>
    <w:rPr>
      <w:i/>
      <w:iCs/>
      <w:color w:val="000000" w:themeColor="text1"/>
    </w:rPr>
  </w:style>
  <w:style w:type="paragraph" w:styleId="Salutation">
    <w:name w:val="Salutation"/>
    <w:basedOn w:val="Normal"/>
    <w:next w:val="BodyTextFirstIndent"/>
    <w:link w:val="SalutationChar"/>
    <w:rsid w:val="005E7FC9"/>
    <w:pPr>
      <w:jc w:val="both"/>
    </w:pPr>
    <w:rPr>
      <w:rFonts w:eastAsia="Times New Roman"/>
      <w:szCs w:val="24"/>
    </w:rPr>
  </w:style>
  <w:style w:type="character" w:customStyle="1" w:styleId="SalutationChar">
    <w:name w:val="Salutation Char"/>
    <w:link w:val="Salutation"/>
    <w:rsid w:val="005E7FC9"/>
    <w:rPr>
      <w:rFonts w:ascii="Times New Roman" w:eastAsia="Times New Roman" w:hAnsi="Times New Roman" w:cs="Times New Roman"/>
      <w:sz w:val="24"/>
      <w:szCs w:val="24"/>
    </w:rPr>
  </w:style>
  <w:style w:type="paragraph" w:styleId="Signature">
    <w:name w:val="Signature"/>
    <w:basedOn w:val="Normal"/>
    <w:link w:val="SignatureChar"/>
    <w:rsid w:val="005E7FC9"/>
    <w:pPr>
      <w:ind w:left="4320"/>
      <w:jc w:val="both"/>
    </w:pPr>
    <w:rPr>
      <w:rFonts w:eastAsia="Times New Roman"/>
      <w:szCs w:val="24"/>
    </w:rPr>
  </w:style>
  <w:style w:type="character" w:customStyle="1" w:styleId="SignatureChar">
    <w:name w:val="Signature Char"/>
    <w:link w:val="Signature"/>
    <w:rsid w:val="005E7FC9"/>
    <w:rPr>
      <w:rFonts w:ascii="Times New Roman" w:eastAsia="Times New Roman" w:hAnsi="Times New Roman" w:cs="Times New Roman"/>
      <w:sz w:val="24"/>
      <w:szCs w:val="24"/>
    </w:rPr>
  </w:style>
  <w:style w:type="character" w:styleId="Strong">
    <w:name w:val="Strong"/>
    <w:basedOn w:val="DefaultParagraphFont"/>
    <w:uiPriority w:val="22"/>
    <w:rsid w:val="000419AC"/>
    <w:rPr>
      <w:b/>
      <w:bCs/>
    </w:rPr>
  </w:style>
  <w:style w:type="paragraph" w:styleId="Subtitle">
    <w:name w:val="Subtitle"/>
    <w:basedOn w:val="Title"/>
    <w:next w:val="BodyTextFirstIndent2"/>
    <w:link w:val="SubtitleChar"/>
    <w:uiPriority w:val="11"/>
    <w:qFormat/>
    <w:rsid w:val="005E7FC9"/>
    <w:pPr>
      <w:numPr>
        <w:ilvl w:val="1"/>
      </w:numPr>
      <w:jc w:val="left"/>
    </w:pPr>
    <w:rPr>
      <w:rFonts w:cs="Times New Roman"/>
      <w:iCs/>
      <w:spacing w:val="15"/>
      <w:szCs w:val="24"/>
    </w:rPr>
  </w:style>
  <w:style w:type="character" w:customStyle="1" w:styleId="SubtitleChar">
    <w:name w:val="Subtitle Char"/>
    <w:link w:val="Subtitle"/>
    <w:uiPriority w:val="11"/>
    <w:rsid w:val="005E7FC9"/>
    <w:rPr>
      <w:rFonts w:ascii="Times New Roman" w:eastAsia="Times New Roman" w:hAnsi="Times New Roman" w:cs="Times New Roman"/>
      <w:b/>
      <w:bCs/>
      <w:iCs/>
      <w:spacing w:val="15"/>
      <w:sz w:val="24"/>
      <w:szCs w:val="24"/>
      <w:u w:val="single"/>
    </w:rPr>
  </w:style>
  <w:style w:type="character" w:styleId="SubtleEmphasis">
    <w:name w:val="Subtle Emphasis"/>
    <w:basedOn w:val="DefaultParagraphFont"/>
    <w:uiPriority w:val="19"/>
    <w:rsid w:val="000419AC"/>
    <w:rPr>
      <w:i/>
      <w:iCs/>
      <w:color w:val="808080" w:themeColor="text1" w:themeTint="7F"/>
    </w:rPr>
  </w:style>
  <w:style w:type="character" w:styleId="SubtleReference">
    <w:name w:val="Subtle Reference"/>
    <w:basedOn w:val="DefaultParagraphFont"/>
    <w:uiPriority w:val="31"/>
    <w:rsid w:val="000419AC"/>
    <w:rPr>
      <w:smallCaps/>
      <w:color w:val="C0504D" w:themeColor="accent2"/>
      <w:u w:val="single"/>
    </w:rPr>
  </w:style>
  <w:style w:type="paragraph" w:styleId="TableofAuthorities">
    <w:name w:val="table of authorities"/>
    <w:basedOn w:val="Normal"/>
    <w:next w:val="BodyText"/>
    <w:rsid w:val="005E7FC9"/>
    <w:pPr>
      <w:tabs>
        <w:tab w:val="right" w:pos="9360"/>
      </w:tabs>
      <w:ind w:left="240" w:right="1440" w:hanging="240"/>
      <w:jc w:val="both"/>
    </w:pPr>
    <w:rPr>
      <w:rFonts w:eastAsia="Times New Roman"/>
      <w:szCs w:val="24"/>
    </w:rPr>
  </w:style>
  <w:style w:type="paragraph" w:styleId="TableofFigures">
    <w:name w:val="table of figures"/>
    <w:basedOn w:val="Normal"/>
    <w:next w:val="BodyText"/>
    <w:rsid w:val="005E7FC9"/>
    <w:pPr>
      <w:ind w:left="480" w:hanging="480"/>
      <w:jc w:val="both"/>
    </w:pPr>
    <w:rPr>
      <w:rFonts w:eastAsia="Times New Roman"/>
      <w:szCs w:val="24"/>
    </w:rPr>
  </w:style>
  <w:style w:type="paragraph" w:styleId="Title">
    <w:name w:val="Title"/>
    <w:basedOn w:val="Normal"/>
    <w:next w:val="BodyTextFirstIndent2"/>
    <w:link w:val="TitleChar"/>
    <w:qFormat/>
    <w:rsid w:val="005E7FC9"/>
    <w:pPr>
      <w:keepNext/>
      <w:spacing w:after="240"/>
      <w:jc w:val="center"/>
      <w:outlineLvl w:val="0"/>
    </w:pPr>
    <w:rPr>
      <w:rFonts w:eastAsia="Times New Roman" w:cs="Arial"/>
      <w:b/>
      <w:bCs/>
      <w:szCs w:val="32"/>
      <w:u w:val="single"/>
    </w:rPr>
  </w:style>
  <w:style w:type="character" w:customStyle="1" w:styleId="TitleChar">
    <w:name w:val="Title Char"/>
    <w:link w:val="Title"/>
    <w:rsid w:val="005E7FC9"/>
    <w:rPr>
      <w:rFonts w:ascii="Times New Roman" w:eastAsia="Times New Roman" w:hAnsi="Times New Roman" w:cs="Arial"/>
      <w:b/>
      <w:bCs/>
      <w:sz w:val="24"/>
      <w:szCs w:val="32"/>
      <w:u w:val="single"/>
    </w:rPr>
  </w:style>
  <w:style w:type="paragraph" w:styleId="TOAHeading">
    <w:name w:val="toa heading"/>
    <w:basedOn w:val="Normal"/>
    <w:next w:val="Normal"/>
    <w:rsid w:val="005E7FC9"/>
    <w:pPr>
      <w:jc w:val="both"/>
    </w:pPr>
    <w:rPr>
      <w:rFonts w:eastAsia="Times New Roman" w:cs="Arial"/>
      <w:b/>
      <w:bCs/>
      <w:szCs w:val="24"/>
    </w:rPr>
  </w:style>
  <w:style w:type="paragraph" w:styleId="TOC1">
    <w:name w:val="toc 1"/>
    <w:basedOn w:val="Normal"/>
    <w:next w:val="TOC2"/>
    <w:autoRedefine/>
    <w:uiPriority w:val="39"/>
    <w:rsid w:val="005E7FC9"/>
    <w:pPr>
      <w:tabs>
        <w:tab w:val="left" w:pos="720"/>
        <w:tab w:val="right" w:leader="dot" w:pos="9360"/>
      </w:tabs>
      <w:spacing w:after="240"/>
      <w:ind w:right="720"/>
      <w:jc w:val="both"/>
    </w:pPr>
    <w:rPr>
      <w:rFonts w:eastAsia="Times New Roman"/>
      <w:szCs w:val="24"/>
    </w:rPr>
  </w:style>
  <w:style w:type="paragraph" w:styleId="TOC2">
    <w:name w:val="toc 2"/>
    <w:basedOn w:val="TOC1"/>
    <w:autoRedefine/>
    <w:uiPriority w:val="39"/>
    <w:rsid w:val="005E7FC9"/>
    <w:pPr>
      <w:tabs>
        <w:tab w:val="clear" w:pos="720"/>
        <w:tab w:val="left" w:pos="1440"/>
      </w:tabs>
      <w:ind w:left="720"/>
    </w:pPr>
    <w:rPr>
      <w:rFonts w:eastAsia="Calibri"/>
      <w:szCs w:val="22"/>
    </w:rPr>
  </w:style>
  <w:style w:type="paragraph" w:styleId="TOC3">
    <w:name w:val="toc 3"/>
    <w:basedOn w:val="TOC1"/>
    <w:autoRedefine/>
    <w:uiPriority w:val="39"/>
    <w:rsid w:val="005E7FC9"/>
    <w:pPr>
      <w:tabs>
        <w:tab w:val="clear" w:pos="720"/>
        <w:tab w:val="left" w:pos="2160"/>
      </w:tabs>
      <w:ind w:left="1440"/>
    </w:pPr>
    <w:rPr>
      <w:rFonts w:eastAsia="Calibri"/>
      <w:szCs w:val="22"/>
    </w:rPr>
  </w:style>
  <w:style w:type="paragraph" w:styleId="TOC4">
    <w:name w:val="toc 4"/>
    <w:basedOn w:val="TOC1"/>
    <w:autoRedefine/>
    <w:rsid w:val="005E7FC9"/>
    <w:pPr>
      <w:ind w:left="720"/>
    </w:pPr>
    <w:rPr>
      <w:rFonts w:eastAsia="Calibri"/>
      <w:szCs w:val="22"/>
    </w:rPr>
  </w:style>
  <w:style w:type="paragraph" w:styleId="TOC5">
    <w:name w:val="toc 5"/>
    <w:basedOn w:val="TOC1"/>
    <w:autoRedefine/>
    <w:rsid w:val="005E7FC9"/>
    <w:pPr>
      <w:ind w:left="960"/>
    </w:pPr>
    <w:rPr>
      <w:rFonts w:eastAsia="Calibri"/>
      <w:szCs w:val="22"/>
    </w:rPr>
  </w:style>
  <w:style w:type="paragraph" w:styleId="TOC6">
    <w:name w:val="toc 6"/>
    <w:basedOn w:val="TOC1"/>
    <w:autoRedefine/>
    <w:rsid w:val="005E7FC9"/>
    <w:pPr>
      <w:ind w:left="1200"/>
    </w:pPr>
    <w:rPr>
      <w:rFonts w:eastAsia="Calibri"/>
      <w:szCs w:val="22"/>
    </w:rPr>
  </w:style>
  <w:style w:type="paragraph" w:styleId="TOC7">
    <w:name w:val="toc 7"/>
    <w:basedOn w:val="TOC1"/>
    <w:autoRedefine/>
    <w:rsid w:val="005E7FC9"/>
    <w:pPr>
      <w:ind w:left="1440"/>
    </w:pPr>
    <w:rPr>
      <w:rFonts w:eastAsia="Calibri"/>
      <w:szCs w:val="22"/>
    </w:rPr>
  </w:style>
  <w:style w:type="paragraph" w:styleId="TOC8">
    <w:name w:val="toc 8"/>
    <w:basedOn w:val="TOC1"/>
    <w:autoRedefine/>
    <w:rsid w:val="005E7FC9"/>
    <w:pPr>
      <w:ind w:left="1680"/>
    </w:pPr>
    <w:rPr>
      <w:rFonts w:eastAsia="Calibri"/>
      <w:szCs w:val="22"/>
    </w:rPr>
  </w:style>
  <w:style w:type="paragraph" w:styleId="TOC9">
    <w:name w:val="toc 9"/>
    <w:basedOn w:val="TOC1"/>
    <w:autoRedefine/>
    <w:rsid w:val="005E7FC9"/>
    <w:pPr>
      <w:ind w:left="1920"/>
    </w:pPr>
    <w:rPr>
      <w:rFonts w:eastAsia="Calibri"/>
      <w:szCs w:val="22"/>
    </w:rPr>
  </w:style>
  <w:style w:type="paragraph" w:styleId="TOCHeading">
    <w:name w:val="TOC Heading"/>
    <w:basedOn w:val="Heading1"/>
    <w:next w:val="Normal"/>
    <w:uiPriority w:val="39"/>
    <w:semiHidden/>
    <w:unhideWhenUsed/>
    <w:rsid w:val="000419AC"/>
    <w:pPr>
      <w:outlineLvl w:val="9"/>
    </w:pPr>
  </w:style>
  <w:style w:type="table" w:styleId="TableGrid">
    <w:name w:val="Table Grid"/>
    <w:basedOn w:val="TableNormal"/>
    <w:rsid w:val="005E7FC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InchQuote">
    <w:name w:val="Block Inch Quote"/>
    <w:basedOn w:val="Normal"/>
    <w:next w:val="BodyTextFirstIndent2"/>
    <w:qFormat/>
    <w:rsid w:val="005E7FC9"/>
    <w:pPr>
      <w:spacing w:after="240"/>
      <w:ind w:left="1440" w:right="1440"/>
      <w:jc w:val="both"/>
    </w:pPr>
    <w:rPr>
      <w:rFonts w:eastAsia="Times New Roman"/>
      <w:szCs w:val="24"/>
    </w:rPr>
  </w:style>
  <w:style w:type="paragraph" w:customStyle="1" w:styleId="BodyTextFirstIndent3">
    <w:name w:val="Body Text First Indent 3"/>
    <w:basedOn w:val="Normal"/>
    <w:rsid w:val="005E7FC9"/>
    <w:pPr>
      <w:spacing w:line="720" w:lineRule="auto"/>
      <w:ind w:firstLine="720"/>
      <w:jc w:val="both"/>
    </w:pPr>
    <w:rPr>
      <w:rFonts w:eastAsia="Times New Roman"/>
      <w:szCs w:val="28"/>
    </w:rPr>
  </w:style>
  <w:style w:type="paragraph" w:customStyle="1" w:styleId="Plain">
    <w:name w:val="Plain"/>
    <w:rsid w:val="005E7FC9"/>
    <w:pPr>
      <w:spacing w:after="0" w:line="240" w:lineRule="auto"/>
    </w:pPr>
    <w:rPr>
      <w:rFonts w:ascii="Times New Roman" w:eastAsia="Times New Roman" w:hAnsi="Times New Roman" w:cs="Times New Roman"/>
      <w:sz w:val="24"/>
      <w:szCs w:val="24"/>
    </w:rPr>
  </w:style>
  <w:style w:type="paragraph" w:customStyle="1" w:styleId="BulletAtMargin">
    <w:name w:val="Bullet At Margin"/>
    <w:basedOn w:val="Normal"/>
    <w:unhideWhenUsed/>
    <w:rsid w:val="005E7FC9"/>
    <w:pPr>
      <w:numPr>
        <w:numId w:val="11"/>
      </w:numPr>
      <w:spacing w:after="240"/>
      <w:jc w:val="both"/>
    </w:pPr>
    <w:rPr>
      <w:rFonts w:eastAsia="Times New Roman"/>
      <w:szCs w:val="24"/>
    </w:rPr>
  </w:style>
  <w:style w:type="paragraph" w:customStyle="1" w:styleId="BulletIndented">
    <w:name w:val="Bullet Indented"/>
    <w:basedOn w:val="Normal"/>
    <w:unhideWhenUsed/>
    <w:rsid w:val="005E7FC9"/>
    <w:pPr>
      <w:numPr>
        <w:numId w:val="12"/>
      </w:numPr>
      <w:spacing w:after="240"/>
      <w:jc w:val="both"/>
    </w:pPr>
    <w:rPr>
      <w:rFonts w:eastAsia="Times New Roman"/>
      <w:szCs w:val="24"/>
    </w:rPr>
  </w:style>
  <w:style w:type="paragraph" w:customStyle="1" w:styleId="InsideAddress">
    <w:name w:val="Inside Address"/>
    <w:basedOn w:val="Normal"/>
    <w:rsid w:val="005E7FC9"/>
    <w:pPr>
      <w:contextualSpacing/>
      <w:jc w:val="both"/>
    </w:pPr>
    <w:rPr>
      <w:rFonts w:eastAsia="Times New Roman"/>
      <w:szCs w:val="24"/>
    </w:rPr>
  </w:style>
  <w:style w:type="paragraph" w:customStyle="1" w:styleId="MCNormal">
    <w:name w:val="MCNormal"/>
    <w:basedOn w:val="Normal"/>
    <w:rsid w:val="005E7FC9"/>
  </w:style>
  <w:style w:type="paragraph" w:customStyle="1" w:styleId="BlockHalfQuote">
    <w:name w:val="Block Half Quote"/>
    <w:basedOn w:val="BodyTextFirstIndent2"/>
    <w:next w:val="BodyTextFirstIndent2"/>
    <w:qFormat/>
    <w:rsid w:val="005E7FC9"/>
    <w:pPr>
      <w:spacing w:after="240" w:line="240" w:lineRule="auto"/>
      <w:ind w:left="720" w:right="720" w:firstLine="0"/>
    </w:pPr>
  </w:style>
  <w:style w:type="character" w:styleId="UnresolvedMention">
    <w:name w:val="Unresolved Mention"/>
    <w:basedOn w:val="DefaultParagraphFont"/>
    <w:uiPriority w:val="99"/>
    <w:semiHidden/>
    <w:unhideWhenUsed/>
    <w:rsid w:val="00B4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apers.ssrn.com/2013/papers.cfm?abstract_id=10323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gov/news/press-release/2023-10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Barry.Temkin@gmail.com/(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1F96-B2DD-4473-8A3C-5970FF97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4313</Characters>
  <Application>Microsoft Office Word</Application>
  <DocSecurity>4</DocSecurity>
  <PresentationFormat/>
  <Lines>35</Lines>
  <Paragraphs>10</Paragraphs>
  <ScaleCrop>false</ScaleCrop>
  <HeadingPairs>
    <vt:vector size="2" baseType="variant">
      <vt:variant>
        <vt:lpstr>Title</vt:lpstr>
      </vt:variant>
      <vt:variant>
        <vt:i4>1</vt:i4>
      </vt:variant>
    </vt:vector>
  </HeadingPairs>
  <TitlesOfParts>
    <vt:vector size="1" baseType="lpstr">
      <vt:lpstr>Syllabus - Broker Dealer Regulation - Spring 2022 (01094435).DOCX</vt:lpstr>
    </vt:vector>
  </TitlesOfParts>
  <Company>Mound Cotton Wollan &amp; Greengrass</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Broker Dealer Regulation - Spring 2022 (01094435).DOCX</dc:title>
  <dc:subject>5000/872/FORDHAM/00748245.DOCX-version . 1</dc:subject>
  <dc:creator>Barry Temkin</dc:creator>
  <cp:keywords/>
  <dc:description/>
  <cp:lastModifiedBy>Glassman, Audrey</cp:lastModifiedBy>
  <cp:revision>2</cp:revision>
  <cp:lastPrinted>2024-07-27T22:13:00Z</cp:lastPrinted>
  <dcterms:created xsi:type="dcterms:W3CDTF">2024-07-28T15:36:00Z</dcterms:created>
  <dcterms:modified xsi:type="dcterms:W3CDTF">2024-07-28T15:36:00Z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928510.1</vt:lpwstr>
  </property>
</Properties>
</file>