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296" w:bottom="1152" w:left="1296" w:header="720" w:footer="720" w:gutter="0"/>
      <w:footerReference r:id="rId6" w:type="default"/>
    </w:sectPr>
    <w:p>
      <w:pPr>
        <w:spacing w:lineRule="auto"/>
      </w:pPr>
      <w:r>
        <w:rPr/>
        <w:t xml:space="preserve"/>
      </w:r>
    </w:p>
    <w:p>
      <w:pPr>
        <w:spacing w:lineRule="auto"/>
      </w:pPr>
      <w:r>
        <w:rPr>
          <w:rFonts w:ascii="Georgia" w:hAnsi="Georgia"/>
          <w:sz w:val="21"/>
          <w:color w:val="0f172a"/>
        </w:rPr>
        <w:t xml:space="preserve">S H E P</w:t>
      </w:r>
    </w:p>
    <w:p>
      <w:pPr>
        <w:spacing w:lineRule="auto"/>
      </w:pPr>
      <w:r>
        <w:rPr/>
        <w:t xml:space="preserve"> </w:t>
      </w:r>
    </w:p>
    <w:p>
      <w:pPr>
        <w:spacing w:lineRule="auto"/>
      </w:pPr>
      <w:r>
        <w:rPr>
          <w:sz w:val="14"/>
          <w:color w:val="94a3b8"/>
        </w:rPr>
        <w:t xml:space="preserve">sheplegal.com</w:t>
      </w:r>
    </w:p>
    <w:p>
      <w:pPr>
        <w:spacing w:lineRule="auto"/>
      </w:pPr>
      <w:r>
        <w:rPr/>
        <w:t xml:space="preserve"/>
      </w:r>
    </w:p>
    <w:p>
      <w:pPr>
        <w:pStyle w:val="Heading1"/>
        <w:spacing w:lineRule="auto"/>
      </w:pPr>
      <w:r>
        <w:rPr/>
        <w:t xml:space="preserve">Convertible Promissory Note</w:t>
      </w:r>
    </w:p>
    <w:p>
      <w:pPr>
        <w:spacing w:lineRule="auto"/>
      </w:pPr>
      <w:r>
        <w:rPr/>
        <w:t xml:space="preserve">SHEP Legal</w:t>
      </w:r>
    </w:p>
    <w:p>
      <w:pPr>
        <w:spacing w:lineRule="auto"/>
      </w:pPr>
      <w:r>
        <w:rPr>
          <w:b/>
        </w:rPr>
        <w:t xml:space="preserve">Principal Amount:</w:t>
      </w:r>
      <w:r>
        <w:rPr/>
        <w:t xml:space="preserve"> $5,000.00 </w:t>
      </w:r>
      <w:r>
        <w:rPr>
          <w:b/>
        </w:rPr>
        <w:t xml:space="preserve">Date of Issuance:</w:t>
      </w:r>
      <w:r>
        <w:rPr/>
        <w:t xml:space="preserve"> ____________, 2026 </w:t>
      </w:r>
      <w:r>
        <w:rPr>
          <w:b/>
        </w:rPr>
        <w:t xml:space="preserve">Valuation Cap:</w:t>
      </w:r>
      <w:r>
        <w:rPr/>
        <w:t xml:space="preserve"> $50,000.00</w:t>
      </w:r>
    </w:p>
    <w:p>
      <w:pPr>
        <w:spacing w:lineRule="auto"/>
      </w:pPr>
      <w:r>
        <w:rPr/>
        <w:t xml:space="preserve">FOR VALUE RECEIVED, Sanoj Allen, sole proprietor of SHEP Legal ("Maker"), promises to pay to William Groves ("Holder"), or order, the principal sum of Five Thousand Dollars ($5,000.00), together with accrued interest, subject to the terms set forth below.</w:t>
      </w:r>
    </w:p>
    <w:p>
      <w:pPr>
        <w:pStyle w:val="Heading2"/>
        <w:spacing w:lineRule="auto"/>
      </w:pPr>
      <w:r>
        <w:rPr/>
        <w:t xml:space="preserve">1. Principal and Payment Schedule</w:t>
      </w:r>
    </w:p>
    <w:p>
      <w:pPr>
        <w:spacing w:lineRule="auto"/>
      </w:pPr>
      <w:r>
        <w:rPr/>
        <w:t xml:space="preserve">1.1 </w:t>
      </w:r>
      <w:r>
        <w:rPr>
          <w:b/>
        </w:rPr>
        <w:t xml:space="preserve">Total Principal.</w:t>
      </w:r>
      <w:r>
        <w:rPr/>
        <w:t xml:space="preserve"> The total principal amount of this Note is Five Thousand Dollars ($5,000.00).</w:t>
      </w:r>
    </w:p>
    <w:p>
      <w:pPr>
        <w:spacing w:lineRule="auto"/>
      </w:pPr>
      <w:r>
        <w:rPr/>
        <w:t xml:space="preserve">1.2 </w:t>
      </w:r>
      <w:r>
        <w:rPr>
          <w:b/>
        </w:rPr>
        <w:t xml:space="preserve">Installment Payments.</w:t>
      </w:r>
      <w:r>
        <w:rPr/>
        <w:t xml:space="preserve"> The Holder shall fund the principal in monthly installments according to the following schedule:</w:t>
      </w:r>
    </w:p>
    <w:tbl>
      <w:tblPr>
        <w:tblCellMar>
          <w:top w:type="dxa" w:w="80"/>
          <w:bottom w:type="dxa" w:w="80"/>
          <w:left w:type="dxa" w:w="160"/>
          <w:right w:type="dxa" w:w="160"/>
        </w:tblCellMar>
        <w:jc w:val="center"/>
      </w:tblPr>
      <w:tblGrid>
        <w:gridCol w:w="3216"/>
        <w:gridCol w:w="3216"/>
        <w:gridCol w:w="3216"/>
      </w:tblGrid>
      <w:tr>
        <w:trPr>
          <w:cantSplit/>
        </w:trPr>
        <w:tc>
          <w:tcPr/>
          <w:p>
            <w:pPr>
              <w:spacing w:lineRule="auto"/>
            </w:pPr>
            <w:r>
              <w:rPr/>
              <w:t xml:space="preserve">Installment</w:t>
            </w:r>
          </w:p>
        </w:tc>
        <w:tc>
          <w:tcPr/>
          <w:p>
            <w:pPr>
              <w:spacing w:lineRule="auto"/>
            </w:pPr>
            <w:r>
              <w:rPr/>
              <w:t xml:space="preserve">Due Date</w:t>
            </w:r>
          </w:p>
        </w:tc>
        <w:tc>
          <w:tcPr/>
          <w:p>
            <w:pPr>
              <w:spacing w:lineRule="auto"/>
            </w:pPr>
            <w:r>
              <w:rPr/>
              <w:t xml:space="preserve">Amount</w:t>
            </w:r>
          </w:p>
        </w:tc>
      </w:tr>
      <w:tblGrid>
        <w:gridCol w:w="3216"/>
        <w:gridCol w:w="3216"/>
        <w:gridCol w:w="3216"/>
      </w:tblGrid>
      <w:tr>
        <w:trPr>
          <w:cantSplit/>
        </w:trPr>
        <w:tc>
          <w:tcPr/>
          <w:p>
            <w:pPr>
              <w:spacing w:lineRule="auto"/>
            </w:pPr>
            <w:r>
              <w:rPr/>
              <w:t xml:space="preserve">1</w:t>
            </w:r>
          </w:p>
        </w:tc>
        <w:tc>
          <w:tcPr/>
          <w:p>
            <w:pPr>
              <w:spacing w:lineRule="auto"/>
            </w:pPr>
            <w:r>
              <w:rPr/>
              <w:t xml:space="preserve">Upon execution</w:t>
            </w:r>
          </w:p>
        </w:tc>
        <w:tc>
          <w:tcPr/>
          <w:p>
            <w:pPr>
              <w:spacing w:lineRule="auto"/>
            </w:pPr>
            <w:r>
              <w:rPr/>
              <w:t xml:space="preserve">$1,000.00</w:t>
            </w:r>
          </w:p>
        </w:tc>
      </w:tr>
      <w:tr>
        <w:trPr>
          <w:cantSplit/>
        </w:trPr>
        <w:tc>
          <w:tcPr/>
          <w:p>
            <w:pPr>
              <w:spacing w:lineRule="auto"/>
            </w:pPr>
            <w:r>
              <w:rPr/>
              <w:t xml:space="preserve">2</w:t>
            </w:r>
          </w:p>
        </w:tc>
        <w:tc>
          <w:tcPr/>
          <w:p>
            <w:pPr>
              <w:spacing w:lineRule="auto"/>
            </w:pPr>
            <w:r>
              <w:rPr/>
              <w:t xml:space="preserve">30 days after execution</w:t>
            </w:r>
          </w:p>
        </w:tc>
        <w:tc>
          <w:tcPr/>
          <w:p>
            <w:pPr>
              <w:spacing w:lineRule="auto"/>
            </w:pPr>
            <w:r>
              <w:rPr/>
              <w:t xml:space="preserve">$1,000.00</w:t>
            </w:r>
          </w:p>
        </w:tc>
      </w:tr>
      <w:tr>
        <w:trPr>
          <w:cantSplit/>
        </w:trPr>
        <w:tc>
          <w:tcPr/>
          <w:p>
            <w:pPr>
              <w:spacing w:lineRule="auto"/>
            </w:pPr>
            <w:r>
              <w:rPr/>
              <w:t xml:space="preserve">3</w:t>
            </w:r>
          </w:p>
        </w:tc>
        <w:tc>
          <w:tcPr/>
          <w:p>
            <w:pPr>
              <w:spacing w:lineRule="auto"/>
            </w:pPr>
            <w:r>
              <w:rPr/>
              <w:t xml:space="preserve">60 days after execution</w:t>
            </w:r>
          </w:p>
        </w:tc>
        <w:tc>
          <w:tcPr/>
          <w:p>
            <w:pPr>
              <w:spacing w:lineRule="auto"/>
            </w:pPr>
            <w:r>
              <w:rPr/>
              <w:t xml:space="preserve">$1,000.00</w:t>
            </w:r>
          </w:p>
        </w:tc>
      </w:tr>
      <w:tr>
        <w:trPr>
          <w:cantSplit/>
        </w:trPr>
        <w:tc>
          <w:tcPr/>
          <w:p>
            <w:pPr>
              <w:spacing w:lineRule="auto"/>
            </w:pPr>
            <w:r>
              <w:rPr/>
              <w:t xml:space="preserve">4</w:t>
            </w:r>
          </w:p>
        </w:tc>
        <w:tc>
          <w:tcPr/>
          <w:p>
            <w:pPr>
              <w:spacing w:lineRule="auto"/>
            </w:pPr>
            <w:r>
              <w:rPr/>
              <w:t xml:space="preserve">90 days after execution</w:t>
            </w:r>
          </w:p>
        </w:tc>
        <w:tc>
          <w:tcPr/>
          <w:p>
            <w:pPr>
              <w:spacing w:lineRule="auto"/>
            </w:pPr>
            <w:r>
              <w:rPr/>
              <w:t xml:space="preserve">$1,000.00</w:t>
            </w:r>
          </w:p>
        </w:tc>
      </w:tr>
      <w:tr>
        <w:trPr>
          <w:cantSplit/>
        </w:trPr>
        <w:tc>
          <w:tcPr/>
          <w:p>
            <w:pPr>
              <w:spacing w:lineRule="auto"/>
            </w:pPr>
            <w:r>
              <w:rPr/>
              <w:t xml:space="preserve">5</w:t>
            </w:r>
          </w:p>
        </w:tc>
        <w:tc>
          <w:tcPr/>
          <w:p>
            <w:pPr>
              <w:spacing w:lineRule="auto"/>
            </w:pPr>
            <w:r>
              <w:rPr/>
              <w:t xml:space="preserve">120 days after execution</w:t>
            </w:r>
          </w:p>
        </w:tc>
        <w:tc>
          <w:tcPr/>
          <w:p>
            <w:pPr>
              <w:spacing w:lineRule="auto"/>
            </w:pPr>
            <w:r>
              <w:rPr/>
              <w:t xml:space="preserve">$1,000.00</w:t>
            </w:r>
          </w:p>
        </w:tc>
      </w:tr>
    </w:tbl>
    <w:p>
      <w:pPr>
        <w:spacing w:lineRule="auto"/>
      </w:pPr>
      <w:r>
        <w:rPr/>
      </w:r>
    </w:p>
    <w:p>
      <w:pPr>
        <w:spacing w:lineRule="auto"/>
      </w:pPr>
      <w:r>
        <w:rPr/>
        <w:t xml:space="preserve">1.3 </w:t>
      </w:r>
      <w:r>
        <w:rPr>
          <w:b/>
        </w:rPr>
        <w:t xml:space="preserve">Outstanding Principal.</w:t>
      </w:r>
      <w:r>
        <w:rPr/>
        <w:t xml:space="preserve"> At any given time, the outstanding principal of this Note shall equal the total amount actually funded by the Holder. All conversion and repayment calculations shall be based on the amount actually funded, not the full $5,000.00.</w:t>
      </w:r>
    </w:p>
    <w:p>
      <w:pPr>
        <w:spacing w:lineRule="auto"/>
      </w:pPr>
      <w:r>
        <w:rPr/>
        <w:t xml:space="preserve">1.4 </w:t>
      </w:r>
      <w:r>
        <w:rPr>
          <w:b/>
        </w:rPr>
        <w:t xml:space="preserve">Failure to Fund.</w:t>
      </w:r>
      <w:r>
        <w:rPr/>
        <w:t xml:space="preserve"> If the Holder fails to make an installment payment within fifteen (15) days of its due date, the Maker may, at its sole discretion, reduce the total principal amount of this Note to the amount actually funded and treat the Note as fully funded at that reduced amount.</w:t>
      </w:r>
    </w:p>
    <w:p>
      <w:pPr>
        <w:pStyle w:val="Heading2"/>
        <w:spacing w:lineRule="auto"/>
      </w:pPr>
      <w:r>
        <w:rPr/>
        <w:t xml:space="preserve">2. Interest</w:t>
      </w:r>
    </w:p>
    <w:p>
      <w:pPr>
        <w:spacing w:lineRule="auto"/>
      </w:pPr>
      <w:r>
        <w:rPr/>
        <w:t xml:space="preserve">2.1 This Note shall bear simple interest at a rate of five percent (5%) per annum on the outstanding principal, accruing from the date each installment is received. Interest shall not compound.</w:t>
      </w:r>
    </w:p>
    <w:p>
      <w:pPr>
        <w:pStyle w:val="Heading2"/>
        <w:spacing w:lineRule="auto"/>
      </w:pPr>
      <w:r>
        <w:rPr/>
        <w:t xml:space="preserve">3. Maturity</w:t>
      </w:r>
    </w:p>
    <w:p>
      <w:pPr>
        <w:spacing w:lineRule="auto"/>
      </w:pPr>
      <w:r>
        <w:rPr/>
        <w:t xml:space="preserve">3.1 Unless earlier converted pursuant to Section 4, the outstanding principal and all accrued interest shall be due and payable on the date that is eighteen (18) months from the Date of Issuance (the "Maturity Date").</w:t>
      </w:r>
    </w:p>
    <w:p>
      <w:pPr>
        <w:pStyle w:val="Heading2"/>
        <w:spacing w:lineRule="auto"/>
      </w:pPr>
      <w:r>
        <w:rPr/>
        <w:t xml:space="preserve">4. Conversion</w:t>
      </w:r>
    </w:p>
    <w:p>
      <w:pPr>
        <w:spacing w:lineRule="auto"/>
      </w:pPr>
      <w:r>
        <w:rPr/>
        <w:t xml:space="preserve">4.1 </w:t>
      </w:r>
      <w:r>
        <w:rPr>
          <w:b/>
        </w:rPr>
        <w:t xml:space="preserve">Automatic Conversion on Entity Formation.</w:t>
      </w:r>
      <w:r>
        <w:rPr/>
        <w:t xml:space="preserve"> Upon the Maker's incorporation or formation of a legal entity (LLC or corporation) for the purpose of operating SHEP Legal (a "Conversion Event"), the outstanding principal and accrued interest shall automatically convert into equity of the new entity.</w:t>
      </w:r>
    </w:p>
    <w:p>
      <w:pPr>
        <w:spacing w:lineRule="auto"/>
      </w:pPr>
      <w:r>
        <w:rPr/>
        <w:t xml:space="preserve">4.2 </w:t>
      </w:r>
      <w:r>
        <w:rPr>
          <w:b/>
        </w:rPr>
        <w:t xml:space="preserve">Conversion Terms.</w:t>
      </w:r>
      <w:r>
        <w:rPr/>
        <w:t xml:space="preserve"> The conversion price shall be determined by dividing the Valuation Cap ($50,000.00) by the total number of shares or membership units authorized at the time of entity formation, on a fully diluted basis. The Holder shall receive the number of shares or units equal to the outstanding principal plus accrued interest divided by the conversion price.</w:t>
      </w:r>
    </w:p>
    <w:p>
      <w:pPr>
        <w:spacing w:lineRule="auto"/>
      </w:pPr>
      <w:r>
        <w:rPr/>
        <w:t xml:space="preserve">4.3 </w:t>
      </w:r>
      <w:r>
        <w:rPr>
          <w:b/>
        </w:rPr>
        <w:t xml:space="preserve">Conversion Example.</w:t>
      </w:r>
      <w:r>
        <w:rPr/>
        <w:t xml:space="preserve"> If the full $5,000.00 has been funded and the entity is formed with a $50,000.00 valuation, the Holder would receive approximately ten percent (10%) of the equity of the new entity, subject to adjustment for accrued interest.</w:t>
      </w:r>
    </w:p>
    <w:p>
      <w:pPr>
        <w:spacing w:lineRule="auto"/>
      </w:pPr>
      <w:r>
        <w:rPr/>
        <w:t xml:space="preserve">4.4 </w:t>
      </w:r>
      <w:r>
        <w:rPr>
          <w:b/>
        </w:rPr>
        <w:t xml:space="preserve">Qualified Financing.</w:t>
      </w:r>
      <w:r>
        <w:rPr/>
        <w:t xml:space="preserve"> If, prior to or simultaneous with entity formation, the Maker raises equity financing of at least $25,000.00 from one or more investors (a "Qualified Financing"), the outstanding principal and accrued interest shall convert at the lesser of: (a) the Valuation Cap, or (b) a twenty percent (20%) discount to the price per share paid by the new investors.</w:t>
      </w:r>
    </w:p>
    <w:p>
      <w:pPr>
        <w:pStyle w:val="Heading2"/>
        <w:spacing w:lineRule="auto"/>
      </w:pPr>
      <w:r>
        <w:rPr/>
        <w:t xml:space="preserve">5. Dilution</w:t>
      </w:r>
    </w:p>
    <w:p>
      <w:pPr>
        <w:spacing w:lineRule="auto"/>
      </w:pPr>
      <w:r>
        <w:rPr/>
        <w:t xml:space="preserve">5.1 </w:t>
      </w:r>
      <w:r>
        <w:rPr>
          <w:b/>
        </w:rPr>
        <w:t xml:space="preserve">Standard Dilution.</w:t>
      </w:r>
      <w:r>
        <w:rPr/>
        <w:t xml:space="preserve"> Upon conversion, the Holder's equity interest shall be subject to dilution from any future issuance of equity, including financing rounds, option pools, advisor grants, or any other issuance.</w:t>
      </w:r>
    </w:p>
    <w:p>
      <w:pPr>
        <w:spacing w:lineRule="auto"/>
      </w:pPr>
      <w:r>
        <w:rPr/>
        <w:t xml:space="preserve">5.2 </w:t>
      </w:r>
      <w:r>
        <w:rPr>
          <w:b/>
        </w:rPr>
        <w:t xml:space="preserve">No Anti-Dilution Protection.</w:t>
      </w:r>
      <w:r>
        <w:rPr/>
        <w:t xml:space="preserve"> The Holder shall have no anti-dilution rights of any kind.</w:t>
      </w:r>
    </w:p>
    <w:p>
      <w:pPr>
        <w:spacing w:lineRule="auto"/>
      </w:pPr>
      <w:r>
        <w:rPr/>
        <w:t xml:space="preserve">5.3 </w:t>
      </w:r>
      <w:r>
        <w:rPr>
          <w:b/>
        </w:rPr>
        <w:t xml:space="preserve">No Preemptive Rights.</w:t>
      </w:r>
      <w:r>
        <w:rPr/>
        <w:t xml:space="preserve"> The Holder shall have no right to participate in future equity issuances to maintain percentage ownership.</w:t>
      </w:r>
    </w:p>
    <w:p>
      <w:pPr>
        <w:pStyle w:val="Heading2"/>
        <w:spacing w:lineRule="auto"/>
      </w:pPr>
      <w:r>
        <w:rPr/>
        <w:t xml:space="preserve">6. Rights Upon Conversion</w:t>
      </w:r>
    </w:p>
    <w:p>
      <w:pPr>
        <w:spacing w:lineRule="auto"/>
      </w:pPr>
      <w:r>
        <w:rPr/>
        <w:t xml:space="preserve">6.1 </w:t>
      </w:r>
      <w:r>
        <w:rPr>
          <w:b/>
        </w:rPr>
        <w:t xml:space="preserve">Economic Rights.</w:t>
      </w:r>
      <w:r>
        <w:rPr/>
        <w:t xml:space="preserve"> The Holder shall be entitled to pro rata distributions, if any, at the discretion of the Maker or the board of the new entity.</w:t>
      </w:r>
    </w:p>
    <w:p>
      <w:pPr>
        <w:spacing w:lineRule="auto"/>
      </w:pPr>
      <w:r>
        <w:rPr/>
        <w:t xml:space="preserve">6.2 </w:t>
      </w:r>
      <w:r>
        <w:rPr>
          <w:b/>
        </w:rPr>
        <w:t xml:space="preserve">No Management Rights.</w:t>
      </w:r>
      <w:r>
        <w:rPr/>
        <w:t xml:space="preserve"> The Holder shall have no right to participate in the management or operations of SHEP or its successor entity.</w:t>
      </w:r>
    </w:p>
    <w:p>
      <w:pPr>
        <w:spacing w:lineRule="auto"/>
      </w:pPr>
      <w:r>
        <w:rPr/>
        <w:t xml:space="preserve">6.3 </w:t>
      </w:r>
      <w:r>
        <w:rPr>
          <w:b/>
        </w:rPr>
        <w:t xml:space="preserve">Information Rights.</w:t>
      </w:r>
      <w:r>
        <w:rPr/>
        <w:t xml:space="preserve"> The Maker shall provide the Holder with quarterly updates on the financial status and material developments of SHEP. Updates may be informal.</w:t>
      </w:r>
    </w:p>
    <w:p>
      <w:pPr>
        <w:spacing w:lineRule="auto"/>
      </w:pPr>
      <w:r>
        <w:rPr/>
        <w:t xml:space="preserve">6.4 </w:t>
      </w:r>
      <w:r>
        <w:rPr>
          <w:b/>
        </w:rPr>
        <w:t xml:space="preserve">Transfer Restrictions.</w:t>
      </w:r>
      <w:r>
        <w:rPr/>
        <w:t xml:space="preserve"> The Holder may not sell, assign, or transfer this Note or any equity received upon conversion without the prior written consent of the Maker. The Maker shall have a right of first refusal on any proposed transfer.</w:t>
      </w:r>
    </w:p>
    <w:p>
      <w:pPr>
        <w:pStyle w:val="Heading2"/>
        <w:spacing w:lineRule="auto"/>
      </w:pPr>
      <w:r>
        <w:rPr/>
        <w:t xml:space="preserve">7. Drag-Along</w:t>
      </w:r>
    </w:p>
    <w:p>
      <w:pPr>
        <w:spacing w:lineRule="auto"/>
      </w:pPr>
      <w:r>
        <w:rPr/>
        <w:t xml:space="preserve">7.1 Upon conversion, if the Maker (or its successor entity) enters into a bona fide transaction to sell all or substantially all of its assets or equity, the Holder agrees to participate on the same terms as the Maker.</w:t>
      </w:r>
    </w:p>
    <w:p>
      <w:pPr>
        <w:pStyle w:val="Heading2"/>
        <w:spacing w:lineRule="auto"/>
      </w:pPr>
      <w:r>
        <w:rPr/>
        <w:t xml:space="preserve">8. Tag-Along</w:t>
      </w:r>
    </w:p>
    <w:p>
      <w:pPr>
        <w:spacing w:lineRule="auto"/>
      </w:pPr>
      <w:r>
        <w:rPr/>
        <w:t xml:space="preserve">8.1 Upon conversion, if the Maker proposes to sell more than fifty percent (50%) of the equity to a third party, the Holder shall have the right to sell a proportional amount of their equity on the same terms.</w:t>
      </w:r>
    </w:p>
    <w:p>
      <w:pPr>
        <w:pStyle w:val="Heading2"/>
        <w:spacing w:lineRule="auto"/>
      </w:pPr>
      <w:r>
        <w:rPr/>
        <w:t xml:space="preserve">9. Repayment</w:t>
      </w:r>
    </w:p>
    <w:p>
      <w:pPr>
        <w:spacing w:lineRule="auto"/>
      </w:pPr>
      <w:r>
        <w:rPr/>
        <w:t xml:space="preserve">9.1 If the Note has not converted by the Maturity Date, the Maker shall repay the outstanding principal and accrued interest to the Holder within sixty (60) days of the Maturity Date.</w:t>
      </w:r>
    </w:p>
    <w:p>
      <w:pPr>
        <w:spacing w:lineRule="auto"/>
      </w:pPr>
      <w:r>
        <w:rPr/>
        <w:t xml:space="preserve">9.2 The Maker may prepay this Note at any time without penalty.</w:t>
      </w:r>
    </w:p>
    <w:p>
      <w:pPr>
        <w:pStyle w:val="Heading2"/>
        <w:spacing w:lineRule="auto"/>
      </w:pPr>
      <w:r>
        <w:rPr/>
        <w:t xml:space="preserve">10. Representations</w:t>
      </w:r>
    </w:p>
    <w:p>
      <w:pPr>
        <w:spacing w:lineRule="auto"/>
      </w:pPr>
      <w:r>
        <w:rPr/>
        <w:t xml:space="preserve">10.1 </w:t>
      </w:r>
      <w:r>
        <w:rPr>
          <w:b/>
        </w:rPr>
        <w:t xml:space="preserve">Maker Representations.</w:t>
      </w:r>
      <w:r>
        <w:rPr/>
        <w:t xml:space="preserve"> The Maker represents that: (a) he is the sole owner of SHEP Legal; (b) he has the authority to enter into this Note; (c) there are no outstanding convertible instruments, equity interests, or liens that would impair the Holder's rights under this Note, other than those disclosed to the Holder.</w:t>
      </w:r>
    </w:p>
    <w:p>
      <w:pPr>
        <w:spacing w:lineRule="auto"/>
      </w:pPr>
      <w:r>
        <w:rPr/>
        <w:t xml:space="preserve">10.2 </w:t>
      </w:r>
      <w:r>
        <w:rPr>
          <w:b/>
        </w:rPr>
        <w:t xml:space="preserve">Holder Representations.</w:t>
      </w:r>
      <w:r>
        <w:rPr/>
        <w:t xml:space="preserve"> The Holder represents that: (a) he is acquiring this Note for his own account; (b) he understands the risks of investing in an early-stage business; (c) he can afford a complete loss of the principal amount; (d) he understands that this Note has not been registered under the Securities Act of 1933 and is subject to restrictions on transfer.</w:t>
      </w:r>
    </w:p>
    <w:p>
      <w:pPr>
        <w:pStyle w:val="Heading2"/>
        <w:spacing w:lineRule="auto"/>
      </w:pPr>
      <w:r>
        <w:rPr/>
        <w:t xml:space="preserve">11. Dispute Resolution</w:t>
      </w:r>
    </w:p>
    <w:p>
      <w:pPr>
        <w:spacing w:lineRule="auto"/>
      </w:pPr>
      <w:r>
        <w:rPr/>
        <w:t xml:space="preserve">11.1 Any dispute arising under this Note shall be resolved first through good-faith negotiation for thirty (30) days. If unresolved, disputes shall be submitted to binding arbitration under the Commercial Arbitration Rules of the American Arbitration Association, in New York, New York.</w:t>
      </w:r>
    </w:p>
    <w:p>
      <w:pPr>
        <w:pStyle w:val="Heading2"/>
        <w:spacing w:lineRule="auto"/>
      </w:pPr>
      <w:r>
        <w:rPr/>
        <w:t xml:space="preserve">12. General Provisions</w:t>
      </w:r>
    </w:p>
    <w:p>
      <w:pPr>
        <w:spacing w:lineRule="auto"/>
      </w:pPr>
      <w:r>
        <w:rPr/>
        <w:t xml:space="preserve">12.1 </w:t>
      </w:r>
      <w:r>
        <w:rPr>
          <w:b/>
        </w:rPr>
        <w:t xml:space="preserve">Governing Law.</w:t>
      </w:r>
      <w:r>
        <w:rPr/>
        <w:t xml:space="preserve"> This Note shall be governed by the laws of the State of New York.</w:t>
      </w:r>
    </w:p>
    <w:p>
      <w:pPr>
        <w:spacing w:lineRule="auto"/>
      </w:pPr>
      <w:r>
        <w:rPr/>
        <w:t xml:space="preserve">12.2 </w:t>
      </w:r>
      <w:r>
        <w:rPr>
          <w:b/>
        </w:rPr>
        <w:t xml:space="preserve">Entire Agreement.</w:t>
      </w:r>
      <w:r>
        <w:rPr/>
        <w:t xml:space="preserve"> This Note constitutes the entire agreement between the parties regarding the subject matter hereof and supersedes all prior agreements and understandings.</w:t>
      </w:r>
    </w:p>
    <w:p>
      <w:pPr>
        <w:spacing w:lineRule="auto"/>
      </w:pPr>
      <w:r>
        <w:rPr/>
        <w:t xml:space="preserve">12.3 </w:t>
      </w:r>
      <w:r>
        <w:rPr>
          <w:b/>
        </w:rPr>
        <w:t xml:space="preserve">Amendments.</w:t>
      </w:r>
      <w:r>
        <w:rPr/>
        <w:t xml:space="preserve"> This Note may be amended only by written instrument signed by both parties.</w:t>
      </w:r>
    </w:p>
    <w:p>
      <w:pPr>
        <w:spacing w:lineRule="auto"/>
      </w:pPr>
      <w:r>
        <w:rPr/>
        <w:t xml:space="preserve">12.4 </w:t>
      </w:r>
      <w:r>
        <w:rPr>
          <w:b/>
        </w:rPr>
        <w:t xml:space="preserve">Severability.</w:t>
      </w:r>
      <w:r>
        <w:rPr/>
        <w:t xml:space="preserve"> If any provision is held unenforceable, the remaining provisions continue in full force.</w:t>
      </w:r>
    </w:p>
    <w:p>
      <w:pPr>
        <w:spacing w:lineRule="auto"/>
      </w:pPr>
      <w:r>
        <w:rPr/>
        <w:t xml:space="preserve">12.5 </w:t>
      </w:r>
      <w:r>
        <w:rPr>
          <w:b/>
        </w:rPr>
        <w:t xml:space="preserve">Counterparts.</w:t>
      </w:r>
      <w:r>
        <w:rPr/>
        <w:t xml:space="preserve"> This Note may be executed in counterparts.</w:t>
      </w:r>
    </w:p>
    <w:p>
      <w:pPr>
        <w:spacing w:lineRule="auto"/>
      </w:pPr>
      <w:r>
        <w:rPr/>
        <w:t xml:space="preserve">12.6 </w:t>
      </w:r>
      <w:r>
        <w:rPr>
          <w:b/>
        </w:rPr>
        <w:t xml:space="preserve">Notices.</w:t>
      </w:r>
      <w:r>
        <w:rPr/>
        <w:t xml:space="preserve"> All notices shall be in writing and delivered by email to the addresses below.</w:t>
      </w:r>
    </w:p>
    <w:p>
      <w:pPr>
        <w:spacing w:lineRule="auto"/>
      </w:pPr>
      <w:r>
        <w:rPr>
          <w:b/>
        </w:rPr>
        <w:t xml:space="preserve">MAKER:</w:t>
      </w:r>
    </w:p>
    <w:p>
      <w:pPr>
        <w:spacing w:lineRule="auto"/>
      </w:pPr>
      <w:r>
        <w:rPr/>
        <w:t xml:space="preserve">Sanoj Allen</w:t>
      </w:r>
    </w:p>
    <w:p>
      <w:pPr>
        <w:spacing w:lineRule="auto"/>
      </w:pPr>
      <w:r>
        <w:rPr/>
      </w:r>
    </w:p>
    <w:p>
      <w:pPr>
        <w:spacing w:lineRule="auto"/>
      </w:pPr>
      <w:r>
        <w:rPr/>
        <w:t xml:space="preserve">Sole Proprietor, SHEP Legal</w:t>
      </w:r>
    </w:p>
    <w:p>
      <w:pPr>
        <w:spacing w:lineRule="auto"/>
      </w:pPr>
      <w:r>
        <w:rPr/>
      </w:r>
    </w:p>
    <w:p>
      <w:pPr>
        <w:spacing w:lineRule="auto"/>
      </w:pPr>
      <w:r>
        <w:rPr/>
        <w:t xml:space="preserve">Date: _____________</w:t>
      </w:r>
    </w:p>
    <w:p>
      <w:pPr>
        <w:spacing w:lineRule="auto"/>
      </w:pPr>
      <w:r>
        <w:rPr/>
      </w:r>
    </w:p>
    <w:p>
      <w:pPr>
        <w:spacing w:lineRule="auto"/>
      </w:pPr>
      <w:r>
        <w:rPr/>
        <w:t xml:space="preserve">Email: sanoj@sheplegal.com</w:t>
      </w:r>
    </w:p>
    <w:p>
      <w:pPr>
        <w:spacing w:lineRule="auto"/>
      </w:pPr>
      <w:r>
        <w:rPr>
          <w:b/>
        </w:rPr>
        <w:t xml:space="preserve">HOLDER:</w:t>
      </w:r>
    </w:p>
    <w:p>
      <w:pPr>
        <w:spacing w:lineRule="auto"/>
      </w:pPr>
      <w:r>
        <w:rPr/>
        <w:t xml:space="preserve">William Groves</w:t>
      </w:r>
    </w:p>
    <w:p>
      <w:pPr>
        <w:spacing w:lineRule="auto"/>
      </w:pPr>
      <w:r>
        <w:rPr/>
      </w:r>
    </w:p>
    <w:p>
      <w:pPr>
        <w:spacing w:lineRule="auto"/>
      </w:pPr>
      <w:r>
        <w:rPr/>
        <w:t xml:space="preserve">Date: _____________</w:t>
      </w:r>
    </w:p>
    <w:p>
      <w:pPr>
        <w:spacing w:lineRule="auto"/>
      </w:pPr>
      <w:r>
        <w:rPr/>
      </w:r>
    </w:p>
    <w:p>
      <w:pPr>
        <w:spacing w:lineRule="auto"/>
      </w:pPr>
      <w:r>
        <w:rPr/>
        <w:t xml:space="preserve">Email: william.groves@gmail.com</w:t>
      </w:r>
    </w:p>
    <w:p>
      <w:pPr>
        <w:spacing w:lineRule="auto"/>
      </w:pPr>
      <w:r>
        <w:rPr>
          <w:sz w:val="12"/>
          <w:color w:val="a1a1aa"/>
        </w:rPr>
        <w:t xml:space="preserve">Sanoj Allen · Founder · sanoj@sheplegal.com · (678) 939-4428</w:t>
      </w:r>
    </w:p>
    <w:p>
      <w:pPr>
        <w:spacing w:lineRule="auto"/>
      </w:pPr>
      <w:r>
        <w:rPr/>
        <w:t xml:space="preserve"> </w:t>
      </w:r>
    </w:p>
    <w:p>
      <w:pPr>
        <w:spacing w:lineRule="auto"/>
      </w:pPr>
      <w:r>
        <w:rPr>
          <w:sz w:val="12"/>
          <w:color w:val="a1a1aa"/>
        </w:rPr>
        <w:t xml:space="preserve">Confidential</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Times New Roman"/>
    <w:family w:val="roman"/>
    <w:pitch w:val="variable"/>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style w:type="paragraph" w:styleId="Normal" w:default="1">
    <w:name w:val="normal"/>
  </w:style>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after="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TargetMode="In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2026-03-30T16:51:35.761Z</dcterms:created>
  <dcterms:modified xsi:type="dcterms:W3CDTF">2026-03-30T16:51:35.761Z</dcterms:modified>
</cp:coreProperties>
</file>