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/>
        <w:spacing w:after="80" w:before="200"/>
        <w:jc w:val="center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DEAL MEMO</w:t>
      </w:r>
    </w:p>
    <w:p>
      <w:pPr>
        <w:keepNext/>
        <w:spacing w:after="300"/>
        <w:jc w:val="center"/>
      </w:pPr>
      <w:r>
        <w:rPr>
          <w:rFonts w:ascii="Calibri" w:cs="Calibri" w:eastAsia="Calibri" w:hAnsi="Calibri"/>
          <w:color w:val="64748B"/>
          <w:sz w:val="22"/>
          <w:szCs w:val="22"/>
        </w:rPr>
        <w:t xml:space="preserve">SHEP LLC — Sanoj Allen &amp; William Groves</w:t>
      </w:r>
    </w:p>
    <w:p>
      <w:pPr>
        <w:keepNext/>
        <w:pBdr>
          <w:bottom w:val="single" w:color="0F172A" w:sz="2" w:space="1"/>
        </w:pBdr>
        <w:spacing w:after="100" w:before="100"/>
      </w:pPr>
    </w:p>
    <w:p>
      <w:pPr>
        <w:spacing w:after="160" w:line="276"/>
      </w:pPr>
      <w:r>
        <w:rPr>
          <w:rFonts w:ascii="Calibri" w:cs="Calibri" w:eastAsia="Calibri" w:hAnsi="Calibri"/>
          <w:b/>
          <w:bCs/>
          <w:color w:val="64748B"/>
          <w:sz w:val="22"/>
          <w:szCs w:val="22"/>
        </w:rPr>
        <w:t xml:space="preserve">Date: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April __, 2026</w:t>
      </w:r>
    </w:p>
    <w:p>
      <w:pPr>
        <w:keepLines/>
        <w:spacing w:after="160" w:line="276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This memo summarizes how Sanoj Allen and William Groves plan to form an LLC to own and operate SHEP. Two documents implement the deal: an Operating Agreement and an IP Assignment Agreement. This memo explains both in plain language.</w:t>
      </w:r>
    </w:p>
    <w:p>
      <w:pPr>
        <w:keepNext/>
        <w:pBdr>
          <w:bottom w:val="single" w:color="0F172A" w:sz="1" w:space="4"/>
        </w:pBdr>
        <w:spacing w:after="160" w:before="320"/>
      </w:pPr>
      <w:r>
        <w:rPr>
          <w:rFonts w:ascii="Calibri" w:cs="Calibri" w:eastAsia="Calibri" w:hAnsi="Calibri"/>
          <w:b/>
          <w:bCs/>
          <w:color w:val="0F172A"/>
          <w:spacing w:val="60"/>
          <w:sz w:val="22"/>
          <w:szCs w:val="22"/>
        </w:rPr>
        <w:t xml:space="preserve">WHAT WE’RE BUILDING TOGETHER</w:t>
      </w:r>
    </w:p>
    <w:p>
      <w:pPr>
        <w:keepLines/>
        <w:spacing w:after="160" w:line="276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SHEP is a legal education platform that helps law students and bar exam takers practice writing legal analysis with AI-powered rubric-based feedback. The Company will own and operate SHEP, including the bar prep product and the core law student product.</w:t>
      </w:r>
    </w:p>
    <w:p>
      <w:pPr>
        <w:keepLines/>
        <w:spacing w:after="160" w:line="276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The LLC can also pursue new ventures beyond SHEP, but only if both members agree in writing to the economics of each new venture before it launches.</w:t>
      </w:r>
    </w:p>
    <w:p>
      <w:pPr>
        <w:keepNext/>
        <w:pBdr>
          <w:bottom w:val="single" w:color="0F172A" w:sz="1" w:space="4"/>
        </w:pBdr>
        <w:spacing w:after="160" w:before="320"/>
      </w:pPr>
      <w:r>
        <w:rPr>
          <w:rFonts w:ascii="Calibri" w:cs="Calibri" w:eastAsia="Calibri" w:hAnsi="Calibri"/>
          <w:b/>
          <w:bCs/>
          <w:color w:val="0F172A"/>
          <w:spacing w:val="60"/>
          <w:sz w:val="22"/>
          <w:szCs w:val="22"/>
        </w:rPr>
        <w:t xml:space="preserve">OWNERSHIP</w:t>
      </w:r>
    </w:p>
    <w:p>
      <w:pPr>
        <w:keepLines/>
        <w:spacing w:after="160" w:line="276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Sanoj holds 75%. William holds 25%.</w:t>
      </w:r>
    </w:p>
    <w:p>
      <w:pPr>
        <w:keepLines/>
        <w:spacing w:after="160" w:line="276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William’s 25% becomes effective only after the LLC is formed and his $3,500 initial contribution has been fully completed and credited to the Company. Until then, Sanoj is the sole member.</w:t>
      </w:r>
    </w:p>
    <w:p>
      <w:pPr>
        <w:keepNext/>
        <w:pBdr>
          <w:bottom w:val="single" w:color="0F172A" w:sz="1" w:space="4"/>
        </w:pBdr>
        <w:spacing w:after="160" w:before="320"/>
      </w:pPr>
      <w:r>
        <w:rPr>
          <w:rFonts w:ascii="Calibri" w:cs="Calibri" w:eastAsia="Calibri" w:hAnsi="Calibri"/>
          <w:b/>
          <w:bCs/>
          <w:color w:val="0F172A"/>
          <w:spacing w:val="60"/>
          <w:sz w:val="22"/>
          <w:szCs w:val="22"/>
        </w:rPr>
        <w:t xml:space="preserve">HOW THE DEAL WORKS</w:t>
      </w:r>
    </w:p>
    <w:tbl>
      <w:tblPr>
        <w:tblW w:type="pct" w:w="100%"/>
        <w:tblBorders>
          <w:top w:val="single" w:color="CBD5E1" w:sz="1"/>
          <w:left w:val="single" w:color="CBD5E1" w:sz="1"/>
          <w:bottom w:val="single" w:color="CBD5E1" w:sz="1"/>
          <w:right w:val="single" w:color="CBD5E1" w:sz="1"/>
          <w:insideH w:val="single" w:color="CBD5E1" w:sz="1"/>
          <w:insideV w:val="single" w:color="CBD5E1" w:sz="1"/>
        </w:tblBorders>
      </w:tblPr>
      <w:tblGrid>
        <w:gridCol w:w="100"/>
        <w:gridCol w:w="100"/>
      </w:tblGrid>
      <w:tr>
        <w:tc>
          <w:tcPr>
            <w:tcW w:type="pct" w:w="30%"/>
            <w:shd w:fill="F8FAFC"/>
            <w:vAlign w:val="top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64748B"/>
                <w:sz w:val="22"/>
                <w:szCs w:val="22"/>
              </w:rPr>
              <w:t xml:space="preserve">Term</w:t>
            </w:r>
          </w:p>
        </w:tc>
        <w:tc>
          <w:tcPr>
            <w:tcW w:type="pct" w:w="30%"/>
            <w:shd w:fill="F8FAFC"/>
            <w:vAlign w:val="top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64748B"/>
                <w:sz w:val="22"/>
                <w:szCs w:val="22"/>
              </w:rPr>
              <w:t xml:space="preserve">What We’re Doing</w:t>
            </w:r>
          </w:p>
        </w:tc>
      </w:tr>
      <w:tr>
        <w:tc>
          <w:tcPr>
            <w:vAlign w:val="top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2"/>
                <w:szCs w:val="22"/>
              </w:rPr>
              <w:t xml:space="preserve">Ownership</w:t>
            </w:r>
          </w:p>
        </w:tc>
        <w:tc>
          <w:tcPr>
            <w:vAlign w:val="top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2"/>
                <w:szCs w:val="22"/>
              </w:rPr>
              <w:t xml:space="preserve">Sanoj 75% / William 25%, effective after LLC formation and $3,500 initial contribution.</w:t>
            </w:r>
          </w:p>
        </w:tc>
      </w:tr>
      <w:tr>
        <w:tc>
          <w:tcPr>
            <w:vAlign w:val="top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2"/>
                <w:szCs w:val="22"/>
              </w:rPr>
              <w:t xml:space="preserve">William’s Initial Contribution</w:t>
            </w:r>
          </w:p>
        </w:tc>
        <w:tc>
          <w:tcPr>
            <w:vAlign w:val="top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2"/>
                <w:szCs w:val="22"/>
              </w:rPr>
              <w:t xml:space="preserve">William contributes or funds $3,500 of early Company expenses: NCBE content licensing, LLC formation costs, and other startup costs. Receipts kept for a clear paper trail.</w:t>
            </w:r>
          </w:p>
        </w:tc>
      </w:tr>
      <w:tr>
        <w:tc>
          <w:tcPr>
            <w:vAlign w:val="top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2"/>
                <w:szCs w:val="22"/>
              </w:rPr>
              <w:t xml:space="preserve">Ongoing Involvement</w:t>
            </w:r>
          </w:p>
        </w:tc>
        <w:tc>
          <w:tcPr>
            <w:vAlign w:val="top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2"/>
                <w:szCs w:val="22"/>
              </w:rPr>
              <w:t xml:space="preserve">William is expected to stay reasonably involved — weekly briefings, technical input, good-faith support. If he materially disengages, the Operating Agreement’s buyout process applies. No vesting schedule.</w:t>
            </w:r>
          </w:p>
        </w:tc>
      </w:tr>
      <w:tr>
        <w:tc>
          <w:tcPr>
            <w:vAlign w:val="top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2"/>
                <w:szCs w:val="22"/>
              </w:rPr>
              <w:t xml:space="preserve">New Ventures</w:t>
            </w:r>
          </w:p>
        </w:tc>
        <w:tc>
          <w:tcPr>
            <w:vAlign w:val="top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2"/>
                <w:szCs w:val="22"/>
              </w:rPr>
              <w:t xml:space="preserve">The LLC can pursue ventures beyond SHEP, but each one requires a separate written agreement on economics signed by both members before launch.</w:t>
            </w:r>
          </w:p>
        </w:tc>
      </w:tr>
      <w:tr>
        <w:tc>
          <w:tcPr>
            <w:vAlign w:val="top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2"/>
                <w:szCs w:val="22"/>
              </w:rPr>
              <w:t xml:space="preserve">Profit Sharing</w:t>
            </w:r>
          </w:p>
        </w:tc>
        <w:tc>
          <w:tcPr>
            <w:vAlign w:val="top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22"/>
                <w:szCs w:val="22"/>
              </w:rPr>
              <w:t xml:space="preserve">SHEP Business profits and distributions split 75/25 per ownership. New venture economics are negotiated separately per venture.</w:t>
            </w:r>
          </w:p>
        </w:tc>
      </w:tr>
    </w:tbl>
    <w:p>
      <w:pPr>
        <w:keepNext/>
        <w:pBdr>
          <w:bottom w:val="single" w:color="0F172A" w:sz="1" w:space="4"/>
        </w:pBdr>
        <w:spacing w:after="160" w:before="320"/>
      </w:pPr>
      <w:r>
        <w:rPr>
          <w:rFonts w:ascii="Calibri" w:cs="Calibri" w:eastAsia="Calibri" w:hAnsi="Calibri"/>
          <w:b/>
          <w:bCs/>
          <w:color w:val="0F172A"/>
          <w:spacing w:val="60"/>
          <w:sz w:val="22"/>
          <w:szCs w:val="22"/>
        </w:rPr>
        <w:t xml:space="preserve">WHO RUNS THE COMPANY</w:t>
      </w:r>
    </w:p>
    <w:p>
      <w:pPr>
        <w:keepLines/>
        <w:spacing w:after="160" w:line="276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Sanoj is the sole Manager and runs the day-to-day business. William does not have operational authority or blocking rights on routine decisions.</w:t>
      </w:r>
    </w:p>
    <w:p>
      <w:pPr>
        <w:keepLines/>
        <w:spacing w:after="160" w:line="276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Both members must approve a short list of major actions: changing the economic deal, selling the company’s assets, dissolving the LLC, or launching a new venture.</w:t>
      </w:r>
    </w:p>
    <w:p>
      <w:pPr>
        <w:keepNext/>
        <w:pBdr>
          <w:bottom w:val="single" w:color="0F172A" w:sz="1" w:space="4"/>
        </w:pBdr>
        <w:spacing w:after="160" w:before="320"/>
      </w:pPr>
      <w:r>
        <w:rPr>
          <w:rFonts w:ascii="Calibri" w:cs="Calibri" w:eastAsia="Calibri" w:hAnsi="Calibri"/>
          <w:b/>
          <w:bCs/>
          <w:color w:val="0F172A"/>
          <w:spacing w:val="60"/>
          <w:sz w:val="22"/>
          <w:szCs w:val="22"/>
        </w:rPr>
        <w:t xml:space="preserve">PROTECTIONS FOR BOTH SIDES</w:t>
      </w:r>
    </w:p>
    <w:p>
      <w:pPr>
        <w:keepLines/>
        <w:spacing w:after="160" w:line="276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The Operating Agreement includes:</w:t>
      </w:r>
    </w:p>
    <w:p>
      <w:pPr>
        <w:keepLines/>
        <w:spacing w:after="160" w:line="276"/>
        <w:ind w:left="431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•  Right of first refusal — if either member wants to sell their interest, the other gets first dibs.</w:t>
      </w:r>
    </w:p>
    <w:p>
      <w:pPr>
        <w:keepLines/>
        <w:spacing w:after="160" w:line="276"/>
        <w:ind w:left="431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•  Fair market value buyout — either member can exit at FMV, with a structured payment plan.</w:t>
      </w:r>
    </w:p>
    <w:p>
      <w:pPr>
        <w:keepLines/>
        <w:spacing w:after="160" w:line="276"/>
        <w:ind w:left="431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•  Drag-along and tag-along — if the company is sold, both members participate on equal terms.</w:t>
      </w:r>
    </w:p>
    <w:p>
      <w:pPr>
        <w:keepLines/>
        <w:spacing w:after="160" w:line="276"/>
        <w:ind w:left="431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•  Disengagement protection — if a member materially stops participating (60 days + cure period), the other can buy them out at FMV.</w:t>
      </w:r>
    </w:p>
    <w:p>
      <w:pPr>
        <w:keepLines/>
        <w:spacing w:after="160" w:line="276"/>
        <w:ind w:left="431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•  Death / incapacity / bankruptcy — the company or the remaining member can purchase the affected interest at FMV. Successors get economic rights only, not management authority.</w:t>
      </w:r>
    </w:p>
    <w:p>
      <w:pPr>
        <w:keepLines/>
        <w:spacing w:after="160" w:line="276"/>
        <w:ind w:left="431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•  Non-compete — no member can compete with SHEP while involved. 12-month non-solicit after exit.</w:t>
      </w:r>
    </w:p>
    <w:p>
      <w:pPr>
        <w:keepLines/>
        <w:spacing w:after="160" w:line="276"/>
        <w:ind w:left="431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•  Confidentiality — both members keep company information confidential.</w:t>
      </w:r>
    </w:p>
    <w:p>
      <w:pPr>
        <w:keepLines/>
        <w:spacing w:after="160" w:line="276"/>
        <w:ind w:left="431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•  Manager compensation — the Company can pay Sanoj a reasonable salary for full-time work, treated as a business expense before profit distributions.</w:t>
      </w:r>
    </w:p>
    <w:p>
      <w:pPr>
        <w:keepNext/>
        <w:pBdr>
          <w:bottom w:val="single" w:color="0F172A" w:sz="1" w:space="4"/>
        </w:pBdr>
        <w:spacing w:after="160" w:before="320"/>
      </w:pPr>
      <w:r>
        <w:rPr>
          <w:rFonts w:ascii="Calibri" w:cs="Calibri" w:eastAsia="Calibri" w:hAnsi="Calibri"/>
          <w:b/>
          <w:bCs/>
          <w:color w:val="0F172A"/>
          <w:spacing w:val="60"/>
          <w:sz w:val="22"/>
          <w:szCs w:val="22"/>
        </w:rPr>
        <w:t xml:space="preserve">INTELLECTUAL PROPERTY</w:t>
      </w:r>
    </w:p>
    <w:p>
      <w:pPr>
        <w:keepLines/>
        <w:spacing w:after="160" w:line="276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Sanoj built all of SHEP’s technology before this LLC was formed. The IP Assignment Agreement transfers that IP to the Company so the LLC owns it cleanly.</w:t>
      </w:r>
    </w:p>
    <w:p>
      <w:pPr>
        <w:keepLines/>
        <w:spacing w:after="160" w:line="276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William assigns to the Company any SHEP-related work he creates. He agrees not to use any third-party or employer resources in doing so.</w:t>
      </w:r>
    </w:p>
    <w:p>
      <w:pPr>
        <w:keepLines/>
        <w:spacing w:after="160" w:line="276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If the Company dissolves for any reason other than a sale or acquisition, Sanoj’s original IP automatically reverts back to him.</w:t>
      </w:r>
    </w:p>
    <w:p>
      <w:pPr>
        <w:keepNext/>
        <w:pBdr>
          <w:bottom w:val="single" w:color="0F172A" w:sz="1" w:space="4"/>
        </w:pBdr>
        <w:spacing w:after="160" w:before="320"/>
      </w:pPr>
      <w:r>
        <w:rPr>
          <w:rFonts w:ascii="Calibri" w:cs="Calibri" w:eastAsia="Calibri" w:hAnsi="Calibri"/>
          <w:b/>
          <w:bCs/>
          <w:color w:val="0F172A"/>
          <w:spacing w:val="60"/>
          <w:sz w:val="22"/>
          <w:szCs w:val="22"/>
        </w:rPr>
        <w:t xml:space="preserve">NEXT STEPS</w:t>
      </w:r>
    </w:p>
    <w:p>
      <w:pPr>
        <w:keepLines/>
        <w:spacing w:after="160" w:line="276"/>
        <w:ind w:left="431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1.  Both members sign the Operating Agreement and the IP Assignment Agreement.</w:t>
      </w:r>
    </w:p>
    <w:p>
      <w:pPr>
        <w:keepLines/>
        <w:spacing w:after="160" w:line="276"/>
        <w:ind w:left="431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2.  William completes the $3,500 initial contribution (NCBE license + formation costs).</w:t>
      </w:r>
    </w:p>
    <w:p>
      <w:pPr>
        <w:keepLines/>
        <w:spacing w:after="160" w:line="276"/>
        <w:ind w:left="431"/>
      </w:pPr>
      <w:r>
        <w:rPr>
          <w:rFonts w:ascii="Calibri" w:cs="Calibri" w:eastAsia="Calibri" w:hAnsi="Calibri"/>
          <w:b w:val="false"/>
          <w:bCs w:val="false"/>
          <w:color w:val="1E293B"/>
          <w:sz w:val="22"/>
          <w:szCs w:val="22"/>
        </w:rPr>
        <w:t xml:space="preserve">3.  Upon completion, the LLC is formed, ownership is 75/25, and the IP chain-of-title is clean.</w:t>
      </w:r>
    </w:p>
    <w:sectPr>
      <w:headerReference w:type="default" r:id="rId7"/>
      <w:footerReference w:type="default" r:id="rId8"/>
      <w:pgSz w:w="11906" w:h="16838" w:orient="portrait"/>
      <w:pgMar w:top="1727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BD5E1" w:sz="1" w:space="6"/>
      </w:pBdr>
      <w:tabs>
        <w:tab w:val="right" w:pos="9026"/>
      </w:tabs>
      <w:spacing w:before="80"/>
    </w:pPr>
    <w:r>
      <w:rPr>
        <w:rFonts w:ascii="Calibri" w:cs="Calibri" w:eastAsia="Calibri" w:hAnsi="Calibri"/>
        <w:color w:val="94A3B8"/>
        <w:sz w:val="14"/>
        <w:szCs w:val="14"/>
      </w:rPr>
      <w:t xml:space="preserve">Sanoj Allen  ·  Founder  ·  sanoj@sheplegal.com  ·  (678) 939-4428</w:t>
    </w:r>
    <w:r>
      <w:t xml:space="preserve">	</w:t>
    </w:r>
    <w:r>
      <w:rPr>
        <w:rFonts w:ascii="Calibri" w:cs="Calibri" w:eastAsia="Calibri" w:hAnsi="Calibri"/>
        <w:color w:val="94A3B8"/>
        <w:sz w:val="14"/>
        <w:szCs w:val="14"/>
      </w:rPr>
      <w:t xml:space="preserve">Page </w:t>
    </w:r>
    <w:r>
      <w:rPr>
        <w:rFonts w:ascii="Calibri" w:cs="Calibri" w:eastAsia="Calibri" w:hAnsi="Calibri"/>
        <w:color w:val="94A3B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F172A" w:sz="2" w:space="8"/>
      </w:pBdr>
      <w:tabs>
        <w:tab w:val="right" w:pos="9026"/>
      </w:tabs>
      <w:spacing w:after="80"/>
    </w:pPr>
    <w:r>
      <w:rPr>
        <w:rFonts w:ascii="Georgia" w:cs="Georgia" w:eastAsia="Georgia" w:hAnsi="Georgia"/>
        <w:b/>
        <w:bCs/>
        <w:color w:val="0F172A"/>
        <w:sz w:val="28"/>
        <w:szCs w:val="28"/>
      </w:rPr>
      <w:t xml:space="preserve">S  H  E  P</w:t>
    </w:r>
    <w:r>
      <w:t xml:space="preserve">	</w:t>
    </w:r>
    <w:r>
      <w:rPr>
        <w:rFonts w:ascii="Calibri" w:cs="Calibri" w:eastAsia="Calibri" w:hAnsi="Calibri"/>
        <w:color w:val="94A3B8"/>
        <w:sz w:val="16"/>
        <w:szCs w:val="16"/>
      </w:rPr>
      <w:t xml:space="preserve">sheplegal.com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2026-04-11T00:59:27.747Z</dcterms:created>
  <dcterms:modified xsi:type="dcterms:W3CDTF">2026-04-11T00:59:27.747Z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