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200"/>
        <w:jc w:val="center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DEAL MEMO</w:t>
      </w:r>
    </w:p>
    <w:p>
      <w:pPr>
        <w:keepNext/>
        <w:spacing w:after="300"/>
        <w:jc w:val="center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SHEP LLC — Sanoj Allen &amp; William Groves</w:t>
      </w:r>
    </w:p>
    <w:p>
      <w:pPr>
        <w:keepNext/>
        <w:pBdr>
          <w:bottom w:val="single" w:color="0F172A" w:sz="2" w:space="1"/>
        </w:pBdr>
        <w:spacing w:after="100" w:before="10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color w:val="64748B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April __, 2026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This memo summarizes how Sanoj Allen and William Groves plan to form an LLC to own and operate SHEP. Two documents implement the deal: an Operating Agreement and an IP Assignment Agreement. This memo explains both in plain language.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WHAT WE’RE BUILDING TOGETHER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SHEP is a legal education platform that helps law students and bar exam takers practice writing legal analysis with AI-powered rubric-based feedback. The Company will own and operate SHEP, including the bar prep product and the core law student product.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The LLC can also pursue new ventures beyond SHEP, but only if both members agree in writing to the economics of each new venture before it launches.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OWNERSHIP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Sanoj holds 75%. William holds 25%.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William’s 25% becomes effective only after the LLC is formed and his $3,500 initial contribution has been fully completed and credited to the Company. Until then, Sanoj is the sole member.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HOW THE DEAL WORKS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</w:tblGrid>
      <w:tr>
        <w:tc>
          <w:tcPr>
            <w:tcW w:type="pct" w:w="30%"/>
            <w:shd w:fill="F8FAFC"/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22"/>
                <w:szCs w:val="22"/>
              </w:rPr>
              <w:t xml:space="preserve">Term</w:t>
            </w:r>
          </w:p>
        </w:tc>
        <w:tc>
          <w:tcPr>
            <w:tcW w:type="pct" w:w="30%"/>
            <w:shd w:fill="F8FAFC"/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22"/>
                <w:szCs w:val="22"/>
              </w:rPr>
              <w:t xml:space="preserve">What We’re Doing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Ownership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Sanoj 75% / William 25%, effective after LLC formation and $3,500 initial contribution.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William’s Initial Contribution ($3,500)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A one-time contribution of $3,500 covering NCBE content licensing, LLC formation costs, and other startup expenses. This is what earns the 25% ownership. Receipts kept for a clear paper trail.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William’s Monthly Support (~$500/mo)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Separately, William is expected to contribute approximately $500/month toward the Company’s ongoing operating costs (infrastructure, hosting, tools). This is not a condition of ownership — it reflects William’s commitment to supporting the business as an active partner.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Ongoing Involvement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William is expected to stay reasonably involved — weekly briefings, technical input, good-faith support. If he materially disengages, the Operating Agreement’s buyout process applies. No vesting schedule.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New Ventures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The LLC can pursue ventures beyond SHEP, but each one requires a separate written agreement on economics signed by both members before launch.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Profit Sharing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SHEP Business profits and distributions split 75/25 per ownership. New venture economics are negotiated separately per venture.</w:t>
            </w:r>
          </w:p>
        </w:tc>
      </w:tr>
    </w:tbl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WHO RUNS THE COMPANY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Sanoj is the sole Manager and runs the day-to-day business. William does not have operational authority or blocking rights on routine decisions.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Both members must approve a short list of major actions: changing the economic deal, selling the company’s assets, dissolving the LLC, or launching a new venture.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PROTECTIONS FOR BOTH SIDES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The Operating Agreement includes: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Right of first refusal — if either member wants to sell their interest, the other gets first dibs.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Fair market value buyout — either member can exit at FMV, with a structured payment plan.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Drag-along and tag-along — if the company is sold, both members participate on equal terms.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Disengagement protection — if a member materially stops participating (60 days + cure period), the other can buy them out at FMV.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Death / incapacity / bankruptcy — the company or the remaining member can purchase the affected interest at FMV. Successors get economic rights only, not management authority.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Non-compete — no member can compete with SHEP while involved. 12-month non-solicit after exit.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Confidentiality — both members keep company information confidential.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Manager compensation — the Company can pay Sanoj a reasonable salary for full-time work, treated as a business expense before profit distributions.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INTELLECTUAL PROPERTY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Sanoj built all of SHEP’s technology before this LLC was formed. The IP Assignment Agreement transfers that IP to the Company so the LLC owns it cleanly.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William assigns to the Company any SHEP-related work he creates. He agrees not to use any third-party or employer resources in doing so.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If the Company dissolves for any reason other than a sale or acquisition, Sanoj’s original IP automatically reverts back to him.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NEXT STEPS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1.  Both members sign the Operating Agreement and the IP Assignment Agreement.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2.  William completes the $3,500 initial contribution (NCBE license + formation costs).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3.  Upon completion, the LLC is formed, ownership is 75/25, and the IP chain-of-title is clean.</w:t>
      </w:r>
    </w:p>
    <w:sectPr>
      <w:headerReference w:type="default" r:id="rId7"/>
      <w:footerReference w:type="default" r:id="rId8"/>
      <w:pgSz w:w="11906" w:h="16838" w:orient="portrait"/>
      <w:pgMar w:top="1727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1" w:space="6"/>
      </w:pBdr>
      <w:tabs>
        <w:tab w:val="right" w:pos="9026"/>
      </w:tabs>
      <w:spacing w:before="80"/>
    </w:pPr>
    <w:r>
      <w:rPr>
        <w:rFonts w:ascii="Calibri" w:cs="Calibri" w:eastAsia="Calibri" w:hAnsi="Calibri"/>
        <w:color w:val="94A3B8"/>
        <w:sz w:val="14"/>
        <w:szCs w:val="14"/>
      </w:rPr>
      <w:t xml:space="preserve">Sanoj Allen  ·  Founder  ·  sanoj@sheplegal.com  ·  (678) 939-4428</w:t>
    </w:r>
    <w:r>
      <w:t xml:space="preserve">	</w:t>
    </w:r>
    <w:r>
      <w:rPr>
        <w:rFonts w:ascii="Calibri" w:cs="Calibri" w:eastAsia="Calibri" w:hAnsi="Calibri"/>
        <w:color w:val="94A3B8"/>
        <w:sz w:val="14"/>
        <w:szCs w:val="14"/>
      </w:rPr>
      <w:t xml:space="preserve">Page </w:t>
    </w:r>
    <w:r>
      <w:rPr>
        <w:rFonts w:ascii="Calibri" w:cs="Calibri" w:eastAsia="Calibri" w:hAnsi="Calibri"/>
        <w:color w:val="94A3B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172A" w:sz="2" w:space="8"/>
      </w:pBdr>
      <w:tabs>
        <w:tab w:val="right" w:pos="9026"/>
      </w:tabs>
      <w:spacing w:after="80"/>
    </w:pPr>
    <w:r>
      <w:rPr>
        <w:rFonts w:ascii="Georgia" w:cs="Georgia" w:eastAsia="Georgia" w:hAnsi="Georgia"/>
        <w:b/>
        <w:bCs/>
        <w:color w:val="0F172A"/>
        <w:sz w:val="28"/>
        <w:szCs w:val="28"/>
      </w:rPr>
      <w:t xml:space="preserve">S  H  E  P</w:t>
    </w:r>
    <w:r>
      <w:t xml:space="preserve">	</w:t>
    </w:r>
    <w:r>
      <w:rPr>
        <w:rFonts w:ascii="Calibri" w:cs="Calibri" w:eastAsia="Calibri" w:hAnsi="Calibri"/>
        <w:color w:val="94A3B8"/>
        <w:sz w:val="16"/>
        <w:szCs w:val="16"/>
      </w:rPr>
      <w:t xml:space="preserve">sheplegal.com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2026-04-11T01:13:03.484Z</dcterms:created>
  <dcterms:modified xsi:type="dcterms:W3CDTF">2026-04-11T01:13:03.484Z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