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38A7F" w14:textId="77777777" w:rsidR="0099146B" w:rsidRDefault="00000000">
      <w:pPr>
        <w:keepNext/>
        <w:spacing w:before="200" w:after="80"/>
        <w:jc w:val="center"/>
      </w:pPr>
      <w:r>
        <w:rPr>
          <w:rFonts w:ascii="Calibri" w:eastAsia="Calibri" w:hAnsi="Calibri" w:cs="Calibri"/>
          <w:b/>
          <w:bCs/>
          <w:color w:val="0F172A"/>
          <w:sz w:val="32"/>
          <w:szCs w:val="32"/>
        </w:rPr>
        <w:t>DEAL MEMO</w:t>
      </w:r>
    </w:p>
    <w:p w14:paraId="59A4E242" w14:textId="77777777" w:rsidR="0099146B" w:rsidRDefault="00000000">
      <w:pPr>
        <w:keepNext/>
        <w:spacing w:after="300"/>
        <w:jc w:val="center"/>
      </w:pPr>
      <w:r>
        <w:rPr>
          <w:rFonts w:ascii="Calibri" w:eastAsia="Calibri" w:hAnsi="Calibri" w:cs="Calibri"/>
          <w:color w:val="64748B"/>
          <w:sz w:val="22"/>
          <w:szCs w:val="22"/>
        </w:rPr>
        <w:t>SHEP LLC — Founder &amp; William Groves</w:t>
      </w:r>
    </w:p>
    <w:p w14:paraId="2588D9B1" w14:textId="77777777" w:rsidR="0099146B" w:rsidRDefault="0099146B">
      <w:pPr>
        <w:keepNext/>
        <w:pBdr>
          <w:bottom w:val="single" w:sz="2" w:space="1" w:color="0F172A"/>
        </w:pBdr>
        <w:spacing w:before="100" w:after="100"/>
      </w:pPr>
    </w:p>
    <w:p w14:paraId="6AE136C8"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t>SHEP LLC — Deal Memo (Founder–Will)</w:t>
      </w:r>
    </w:p>
    <w:p w14:paraId="5CFF773D"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t>Date: April __, 2026</w:t>
      </w:r>
    </w:p>
    <w:p w14:paraId="4F8E3E3E"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t>Parties: (1) [Founder full legal name] (“Founder” or the “Managing Member”) and (2) Will Groves (the “Non-Managing Member”)</w:t>
      </w:r>
    </w:p>
    <w:p w14:paraId="1EF6BD9F"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t>This memo summarizes the proposed structure for forming an LLC that will own and operate SHEP (including the bar prep product and the core law student product) (the “Company”). It is intended to be simple, easy to explain, and implemented through a short operating agreement and a separate IP assignment agreement.</w:t>
      </w:r>
    </w:p>
    <w:p w14:paraId="7AD54238"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t>Capitalized terms used but not defined in this memo will have the meanings given in the Operating Agreement.</w:t>
      </w:r>
    </w:p>
    <w:p w14:paraId="625A46CB"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t>Business and ownership concept</w:t>
      </w:r>
    </w:p>
    <w:p w14:paraId="3C5ABBAE"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t xml:space="preserve">The Company will be a single LLC that may own and operate the SHEP Business and approved New Ventures. The Company will be manager-managed, with the Managing Member as the sole Manager responsible for day-to-day control. The documents will provide that the Non-Managing Member receives </w:t>
      </w:r>
      <w:proofErr w:type="gramStart"/>
      <w:r w:rsidRPr="00F208EA">
        <w:rPr>
          <w:rFonts w:ascii="Calibri" w:eastAsia="Calibri" w:hAnsi="Calibri" w:cs="Calibri"/>
          <w:b/>
          <w:bCs/>
          <w:color w:val="64748B"/>
          <w:sz w:val="22"/>
          <w:szCs w:val="22"/>
        </w:rPr>
        <w:t>a 25</w:t>
      </w:r>
      <w:proofErr w:type="gramEnd"/>
      <w:r w:rsidRPr="00F208EA">
        <w:rPr>
          <w:rFonts w:ascii="Calibri" w:eastAsia="Calibri" w:hAnsi="Calibri" w:cs="Calibri"/>
          <w:b/>
          <w:bCs/>
          <w:color w:val="64748B"/>
          <w:sz w:val="22"/>
          <w:szCs w:val="22"/>
        </w:rPr>
        <w:t>% ownership interest in the Company only after LLC formation and completion/crediting of the Non-Managing Member’s $3,500 Initial Contribution, while the Managing Member remains the sole Manager. The documents will also provide that the Non-Managing Member’s 25% economics apply to the SHEP Business, and that any New Venture pursued through the Company will require a separate written allocation agreement signed by both Members before launch, acquisition, or funding. The documents will also provide for the Managing Member’s assignment of pre-existing IP into the Company, which is important because copyright transfers generally require a signed writing to be valid. 17 U.S.C. § 204(a). The Non-Managing Member will also assign to the Company any SHEP-related IP he creates for the Company. 1</w:t>
      </w:r>
    </w:p>
    <w:p w14:paraId="7FDEC531"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t>Economic terms (simple, fully granted ownership)</w:t>
      </w:r>
    </w:p>
    <w:p w14:paraId="203FF7D7"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t>The Non-Managing Member’s ownership in the Company will be 25%, granted only after (</w:t>
      </w:r>
      <w:proofErr w:type="spellStart"/>
      <w:r w:rsidRPr="00F208EA">
        <w:rPr>
          <w:rFonts w:ascii="Calibri" w:eastAsia="Calibri" w:hAnsi="Calibri" w:cs="Calibri"/>
          <w:b/>
          <w:bCs/>
          <w:color w:val="64748B"/>
          <w:sz w:val="22"/>
          <w:szCs w:val="22"/>
        </w:rPr>
        <w:t>i</w:t>
      </w:r>
      <w:proofErr w:type="spellEnd"/>
      <w:r w:rsidRPr="00F208EA">
        <w:rPr>
          <w:rFonts w:ascii="Calibri" w:eastAsia="Calibri" w:hAnsi="Calibri" w:cs="Calibri"/>
          <w:b/>
          <w:bCs/>
          <w:color w:val="64748B"/>
          <w:sz w:val="22"/>
          <w:szCs w:val="22"/>
        </w:rPr>
        <w:t>) the LLC is formed and (ii) the Non-Managing Member’s $3,500 initial cash contribution / funded expenses are fully completed and credited to the Company. The parties will use a simple contribution narrative to explain the split: $3,500 upfront plus the Non-Managing Member’s expected ongoing support and involvement.</w:t>
      </w:r>
    </w:p>
    <w:tbl>
      <w:tblPr>
        <w:tblW w:w="0" w:type="auto"/>
        <w:tblLook w:val="04A0" w:firstRow="1" w:lastRow="0" w:firstColumn="1" w:lastColumn="0" w:noHBand="0" w:noVBand="1"/>
      </w:tblPr>
      <w:tblGrid>
        <w:gridCol w:w="4487"/>
        <w:gridCol w:w="4509"/>
      </w:tblGrid>
      <w:tr w:rsidR="00F208EA" w:rsidRPr="00F208EA" w14:paraId="789502A8" w14:textId="77777777">
        <w:tc>
          <w:tcPr>
            <w:tcW w:w="4680" w:type="dxa"/>
            <w:tcBorders>
              <w:top w:val="single" w:sz="12" w:space="0" w:color="000000"/>
              <w:left w:val="single" w:sz="12" w:space="0" w:color="000000"/>
              <w:bottom w:val="single" w:sz="12" w:space="0" w:color="000000"/>
              <w:right w:val="single" w:sz="12" w:space="0" w:color="000000"/>
            </w:tcBorders>
            <w:shd w:val="clear" w:color="auto" w:fill="D3D3D3"/>
            <w:hideMark/>
          </w:tcPr>
          <w:p w14:paraId="5113C381"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t>Term</w:t>
            </w:r>
          </w:p>
        </w:tc>
        <w:tc>
          <w:tcPr>
            <w:tcW w:w="4680" w:type="dxa"/>
            <w:tcBorders>
              <w:top w:val="single" w:sz="12" w:space="0" w:color="000000"/>
              <w:left w:val="single" w:sz="12" w:space="0" w:color="000000"/>
              <w:bottom w:val="single" w:sz="12" w:space="0" w:color="000000"/>
              <w:right w:val="single" w:sz="12" w:space="0" w:color="000000"/>
            </w:tcBorders>
            <w:shd w:val="clear" w:color="auto" w:fill="D3D3D3"/>
            <w:hideMark/>
          </w:tcPr>
          <w:p w14:paraId="7E4001E1"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t>What we’re doing</w:t>
            </w:r>
          </w:p>
        </w:tc>
      </w:tr>
      <w:tr w:rsidR="00F208EA" w:rsidRPr="00F208EA" w14:paraId="01A2C499" w14:textId="77777777">
        <w:tc>
          <w:tcPr>
            <w:tcW w:w="4680" w:type="dxa"/>
            <w:tcBorders>
              <w:top w:val="single" w:sz="12" w:space="0" w:color="000000"/>
              <w:left w:val="single" w:sz="12" w:space="0" w:color="000000"/>
              <w:bottom w:val="single" w:sz="12" w:space="0" w:color="000000"/>
              <w:right w:val="single" w:sz="12" w:space="0" w:color="000000"/>
            </w:tcBorders>
            <w:hideMark/>
          </w:tcPr>
          <w:p w14:paraId="0793D2DB"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t>Ownership at formation</w:t>
            </w:r>
          </w:p>
        </w:tc>
        <w:tc>
          <w:tcPr>
            <w:tcW w:w="4680" w:type="dxa"/>
            <w:tcBorders>
              <w:top w:val="single" w:sz="12" w:space="0" w:color="000000"/>
              <w:left w:val="single" w:sz="12" w:space="0" w:color="000000"/>
              <w:bottom w:val="single" w:sz="12" w:space="0" w:color="000000"/>
              <w:right w:val="single" w:sz="12" w:space="0" w:color="000000"/>
            </w:tcBorders>
            <w:hideMark/>
          </w:tcPr>
          <w:p w14:paraId="4D0CDDB8"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t xml:space="preserve">Once the LLC is formed and the Non-Managing Member’s $3,500 initial contribution / funded </w:t>
            </w:r>
            <w:r w:rsidRPr="00F208EA">
              <w:rPr>
                <w:rFonts w:ascii="Calibri" w:eastAsia="Calibri" w:hAnsi="Calibri" w:cs="Calibri"/>
                <w:b/>
                <w:bCs/>
                <w:color w:val="64748B"/>
                <w:sz w:val="22"/>
                <w:szCs w:val="22"/>
              </w:rPr>
              <w:lastRenderedPageBreak/>
              <w:t>expenses have been fully completed and credited, the Managing Member holds 75% and the Non-Managing Member holds 25% of the Company.</w:t>
            </w:r>
          </w:p>
        </w:tc>
      </w:tr>
      <w:tr w:rsidR="00F208EA" w:rsidRPr="00F208EA" w14:paraId="7FDAE3D4" w14:textId="77777777">
        <w:tc>
          <w:tcPr>
            <w:tcW w:w="4680" w:type="dxa"/>
            <w:tcBorders>
              <w:top w:val="single" w:sz="12" w:space="0" w:color="000000"/>
              <w:left w:val="single" w:sz="12" w:space="0" w:color="000000"/>
              <w:bottom w:val="single" w:sz="12" w:space="0" w:color="000000"/>
              <w:right w:val="single" w:sz="12" w:space="0" w:color="000000"/>
            </w:tcBorders>
            <w:hideMark/>
          </w:tcPr>
          <w:p w14:paraId="5C5CD282"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lastRenderedPageBreak/>
              <w:t>Initial cash / funded expenses</w:t>
            </w:r>
          </w:p>
        </w:tc>
        <w:tc>
          <w:tcPr>
            <w:tcW w:w="4680" w:type="dxa"/>
            <w:tcBorders>
              <w:top w:val="single" w:sz="12" w:space="0" w:color="000000"/>
              <w:left w:val="single" w:sz="12" w:space="0" w:color="000000"/>
              <w:bottom w:val="single" w:sz="12" w:space="0" w:color="000000"/>
              <w:right w:val="single" w:sz="12" w:space="0" w:color="000000"/>
            </w:tcBorders>
            <w:hideMark/>
          </w:tcPr>
          <w:p w14:paraId="7004B684"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t xml:space="preserve">The Non-Managing Member contributes </w:t>
            </w:r>
            <w:proofErr w:type="gramStart"/>
            <w:r w:rsidRPr="00F208EA">
              <w:rPr>
                <w:rFonts w:ascii="Calibri" w:eastAsia="Calibri" w:hAnsi="Calibri" w:cs="Calibri"/>
                <w:b/>
                <w:bCs/>
                <w:color w:val="64748B"/>
                <w:sz w:val="22"/>
                <w:szCs w:val="22"/>
              </w:rPr>
              <w:t>or</w:t>
            </w:r>
            <w:proofErr w:type="gramEnd"/>
            <w:r w:rsidRPr="00F208EA">
              <w:rPr>
                <w:rFonts w:ascii="Calibri" w:eastAsia="Calibri" w:hAnsi="Calibri" w:cs="Calibri"/>
                <w:b/>
                <w:bCs/>
                <w:color w:val="64748B"/>
                <w:sz w:val="22"/>
                <w:szCs w:val="22"/>
              </w:rPr>
              <w:t xml:space="preserve"> </w:t>
            </w:r>
            <w:proofErr w:type="gramStart"/>
            <w:r w:rsidRPr="00F208EA">
              <w:rPr>
                <w:rFonts w:ascii="Calibri" w:eastAsia="Calibri" w:hAnsi="Calibri" w:cs="Calibri"/>
                <w:b/>
                <w:bCs/>
                <w:color w:val="64748B"/>
                <w:sz w:val="22"/>
                <w:szCs w:val="22"/>
              </w:rPr>
              <w:t>funds</w:t>
            </w:r>
            <w:proofErr w:type="gramEnd"/>
            <w:r w:rsidRPr="00F208EA">
              <w:rPr>
                <w:rFonts w:ascii="Calibri" w:eastAsia="Calibri" w:hAnsi="Calibri" w:cs="Calibri"/>
                <w:b/>
                <w:bCs/>
                <w:color w:val="64748B"/>
                <w:sz w:val="22"/>
                <w:szCs w:val="22"/>
              </w:rPr>
              <w:t xml:space="preserve"> $3,500 of Company expenses (NCBE license, formation costs, and/or other early Company expenses) as his initial cash contribution.</w:t>
            </w:r>
          </w:p>
        </w:tc>
      </w:tr>
      <w:tr w:rsidR="00F208EA" w:rsidRPr="00F208EA" w14:paraId="060023F8" w14:textId="77777777">
        <w:tc>
          <w:tcPr>
            <w:tcW w:w="4680" w:type="dxa"/>
            <w:tcBorders>
              <w:top w:val="single" w:sz="12" w:space="0" w:color="000000"/>
              <w:left w:val="single" w:sz="12" w:space="0" w:color="000000"/>
              <w:bottom w:val="single" w:sz="12" w:space="0" w:color="000000"/>
              <w:right w:val="single" w:sz="12" w:space="0" w:color="000000"/>
            </w:tcBorders>
            <w:hideMark/>
          </w:tcPr>
          <w:p w14:paraId="0B634237"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t>Ongoing support</w:t>
            </w:r>
          </w:p>
        </w:tc>
        <w:tc>
          <w:tcPr>
            <w:tcW w:w="4680" w:type="dxa"/>
            <w:tcBorders>
              <w:top w:val="single" w:sz="12" w:space="0" w:color="000000"/>
              <w:left w:val="single" w:sz="12" w:space="0" w:color="000000"/>
              <w:bottom w:val="single" w:sz="12" w:space="0" w:color="000000"/>
              <w:right w:val="single" w:sz="12" w:space="0" w:color="000000"/>
            </w:tcBorders>
            <w:hideMark/>
          </w:tcPr>
          <w:p w14:paraId="79EFF7BE"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t xml:space="preserve">The Non-Managing Member is expected to remain reasonably involved with the Company through periodic briefings, technical input, and good-faith support </w:t>
            </w:r>
            <w:proofErr w:type="gramStart"/>
            <w:r w:rsidRPr="00F208EA">
              <w:rPr>
                <w:rFonts w:ascii="Calibri" w:eastAsia="Calibri" w:hAnsi="Calibri" w:cs="Calibri"/>
                <w:b/>
                <w:bCs/>
                <w:color w:val="64748B"/>
                <w:sz w:val="22"/>
                <w:szCs w:val="22"/>
              </w:rPr>
              <w:t>of</w:t>
            </w:r>
            <w:proofErr w:type="gramEnd"/>
            <w:r w:rsidRPr="00F208EA">
              <w:rPr>
                <w:rFonts w:ascii="Calibri" w:eastAsia="Calibri" w:hAnsi="Calibri" w:cs="Calibri"/>
                <w:b/>
                <w:bCs/>
                <w:color w:val="64748B"/>
                <w:sz w:val="22"/>
                <w:szCs w:val="22"/>
              </w:rPr>
              <w:t xml:space="preserve"> the business, with any material disengagement handled through the buyout process in the Operating Agreement rather than through vesting.</w:t>
            </w:r>
          </w:p>
        </w:tc>
      </w:tr>
      <w:tr w:rsidR="00F208EA" w:rsidRPr="00F208EA" w14:paraId="71A66883" w14:textId="77777777">
        <w:tc>
          <w:tcPr>
            <w:tcW w:w="4680" w:type="dxa"/>
            <w:tcBorders>
              <w:top w:val="single" w:sz="12" w:space="0" w:color="000000"/>
              <w:left w:val="single" w:sz="12" w:space="0" w:color="000000"/>
              <w:bottom w:val="single" w:sz="12" w:space="0" w:color="000000"/>
              <w:right w:val="single" w:sz="12" w:space="0" w:color="000000"/>
            </w:tcBorders>
            <w:hideMark/>
          </w:tcPr>
          <w:p w14:paraId="4E70A2F5"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t>New Ventures</w:t>
            </w:r>
          </w:p>
        </w:tc>
        <w:tc>
          <w:tcPr>
            <w:tcW w:w="4680" w:type="dxa"/>
            <w:tcBorders>
              <w:top w:val="single" w:sz="12" w:space="0" w:color="000000"/>
              <w:left w:val="single" w:sz="12" w:space="0" w:color="000000"/>
              <w:bottom w:val="single" w:sz="12" w:space="0" w:color="000000"/>
              <w:right w:val="single" w:sz="12" w:space="0" w:color="000000"/>
            </w:tcBorders>
            <w:hideMark/>
          </w:tcPr>
          <w:p w14:paraId="52285DE1"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t>The Company may pursue New Ventures beyond the SHEP Business, but any New Venture undertaken through the Company will require a separate written allocation agreement signed by both Members before launch, acquisition, or funding.</w:t>
            </w:r>
          </w:p>
        </w:tc>
      </w:tr>
    </w:tbl>
    <w:p w14:paraId="18045963" w14:textId="77777777" w:rsidR="00F208EA" w:rsidRPr="00F208EA" w:rsidRDefault="00F208EA" w:rsidP="00F208EA">
      <w:pPr>
        <w:spacing w:after="160" w:line="276" w:lineRule="auto"/>
        <w:rPr>
          <w:rFonts w:ascii="Calibri" w:eastAsia="Calibri" w:hAnsi="Calibri" w:cs="Calibri"/>
          <w:b/>
          <w:bCs/>
          <w:color w:val="64748B"/>
          <w:sz w:val="22"/>
          <w:szCs w:val="22"/>
        </w:rPr>
      </w:pPr>
    </w:p>
    <w:p w14:paraId="79E5DEBD"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t xml:space="preserve">This approach avoids any vesting or monthly </w:t>
      </w:r>
      <w:proofErr w:type="gramStart"/>
      <w:r w:rsidRPr="00F208EA">
        <w:rPr>
          <w:rFonts w:ascii="Calibri" w:eastAsia="Calibri" w:hAnsi="Calibri" w:cs="Calibri"/>
          <w:b/>
          <w:bCs/>
          <w:color w:val="64748B"/>
          <w:sz w:val="22"/>
          <w:szCs w:val="22"/>
        </w:rPr>
        <w:t>earn</w:t>
      </w:r>
      <w:proofErr w:type="gramEnd"/>
      <w:r w:rsidRPr="00F208EA">
        <w:rPr>
          <w:rFonts w:ascii="Calibri" w:eastAsia="Calibri" w:hAnsi="Calibri" w:cs="Calibri"/>
          <w:b/>
          <w:bCs/>
          <w:color w:val="64748B"/>
          <w:sz w:val="22"/>
          <w:szCs w:val="22"/>
        </w:rPr>
        <w:t>-in mechanics while keeping the deal straightforward to explain.</w:t>
      </w:r>
    </w:p>
    <w:p w14:paraId="029EE636"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t>Governance and key protections</w:t>
      </w:r>
    </w:p>
    <w:p w14:paraId="24F24850"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t xml:space="preserve">The Company will be </w:t>
      </w:r>
      <w:proofErr w:type="gramStart"/>
      <w:r w:rsidRPr="00F208EA">
        <w:rPr>
          <w:rFonts w:ascii="Calibri" w:eastAsia="Calibri" w:hAnsi="Calibri" w:cs="Calibri"/>
          <w:b/>
          <w:bCs/>
          <w:color w:val="64748B"/>
          <w:sz w:val="22"/>
          <w:szCs w:val="22"/>
        </w:rPr>
        <w:t>manager-managed</w:t>
      </w:r>
      <w:proofErr w:type="gramEnd"/>
      <w:r w:rsidRPr="00F208EA">
        <w:rPr>
          <w:rFonts w:ascii="Calibri" w:eastAsia="Calibri" w:hAnsi="Calibri" w:cs="Calibri"/>
          <w:b/>
          <w:bCs/>
          <w:color w:val="64748B"/>
          <w:sz w:val="22"/>
          <w:szCs w:val="22"/>
        </w:rPr>
        <w:t>. The Managing Member, as sole Manager, will have exclusive day-to-day authority to run the Company, and the Non-Managing Member will not have day-to-day blocking rights. The Operating Agreement will require Member approval only for a limited set of reserved matters, while otherwise giving the Manager authority to operate and bind the Company.</w:t>
      </w:r>
    </w:p>
    <w:p w14:paraId="7DCCDC5C"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t>The Operating Agreement will also include a right of first refusal on transfers, a fair-market-value buy-sell process, drag-along and tag-along provisions, and Company/non-defaulting Member purchase rights if a Member dies, becomes incapacitated, enters bankruptcy, or materially disengages from the business after notice and an opportunity to cure.</w:t>
      </w:r>
    </w:p>
    <w:p w14:paraId="372EA836"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t xml:space="preserve">The documents will also include confidentiality, a during-membership </w:t>
      </w:r>
      <w:proofErr w:type="gramStart"/>
      <w:r w:rsidRPr="00F208EA">
        <w:rPr>
          <w:rFonts w:ascii="Calibri" w:eastAsia="Calibri" w:hAnsi="Calibri" w:cs="Calibri"/>
          <w:b/>
          <w:bCs/>
          <w:color w:val="64748B"/>
          <w:sz w:val="22"/>
          <w:szCs w:val="22"/>
        </w:rPr>
        <w:t>non</w:t>
      </w:r>
      <w:proofErr w:type="gramEnd"/>
      <w:r w:rsidRPr="00F208EA">
        <w:rPr>
          <w:rFonts w:ascii="Calibri" w:eastAsia="Calibri" w:hAnsi="Calibri" w:cs="Calibri"/>
          <w:b/>
          <w:bCs/>
          <w:color w:val="64748B"/>
          <w:sz w:val="22"/>
          <w:szCs w:val="22"/>
        </w:rPr>
        <w:t>-compete, a post-exit non-solicit, and authority for the Company to pay reasonable compensation to the Managing Member or another Member for future services before profit distributions.</w:t>
      </w:r>
    </w:p>
    <w:p w14:paraId="13F803F3"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lastRenderedPageBreak/>
        <w:t>IP ownership (Founder assigns into the Company; Non-Managing Member assigns what he creates)</w:t>
      </w:r>
    </w:p>
    <w:p w14:paraId="2CBC3D12"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t>The Managing Member built the technology, codebase, and related Founder IP before formation. The Operating Agreement and a separate IP Assignment Agreement will assign that Founder IP to the Company, consistent with the signed-writing requirements applicable to copyright and other intellectual property assignments. 2 1 3</w:t>
      </w:r>
    </w:p>
    <w:p w14:paraId="4C7FB36E"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t>The Non-Managing Member will also agree that any SHEP-related inventions, code, documentation, or other work product created for the Company are assigned to the Company, that no third-party or employer confidential information or resources may be used in doing so, and that the pre-formation Founder IP will revert to the Managing Member only upon a qualifying dissolution as stated in the Operating Agreement.</w:t>
      </w:r>
    </w:p>
    <w:p w14:paraId="5A135F45"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t>NCBE license / formation costs treatment</w:t>
      </w:r>
    </w:p>
    <w:p w14:paraId="343AD1E1"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t>The parties will treat the NCBE license payment and formation expenses that the Non-Managing Member covers (up to the $3,500 Initial Contribution) as amounts paid on behalf of the Company that count toward the Non-Managing Member’s Initial Contribution, with receipts and a clear paper trail.</w:t>
      </w:r>
    </w:p>
    <w:p w14:paraId="4F926939"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t>Next steps (what you send / sign)</w:t>
      </w:r>
    </w:p>
    <w:p w14:paraId="3EDB8A4C" w14:textId="77777777" w:rsidR="00F208EA" w:rsidRPr="00F208EA" w:rsidRDefault="00F208EA" w:rsidP="00F208EA">
      <w:pPr>
        <w:spacing w:after="160" w:line="276" w:lineRule="auto"/>
        <w:rPr>
          <w:rFonts w:ascii="Calibri" w:eastAsia="Calibri" w:hAnsi="Calibri" w:cs="Calibri"/>
          <w:b/>
          <w:bCs/>
          <w:color w:val="64748B"/>
          <w:sz w:val="22"/>
          <w:szCs w:val="22"/>
        </w:rPr>
      </w:pPr>
      <w:r w:rsidRPr="00F208EA">
        <w:rPr>
          <w:rFonts w:ascii="Calibri" w:eastAsia="Calibri" w:hAnsi="Calibri" w:cs="Calibri"/>
          <w:b/>
          <w:bCs/>
          <w:color w:val="64748B"/>
          <w:sz w:val="22"/>
          <w:szCs w:val="22"/>
        </w:rPr>
        <w:t>The Managing Member will circulate to the Non-Managing Member (</w:t>
      </w:r>
      <w:proofErr w:type="spellStart"/>
      <w:r w:rsidRPr="00F208EA">
        <w:rPr>
          <w:rFonts w:ascii="Calibri" w:eastAsia="Calibri" w:hAnsi="Calibri" w:cs="Calibri"/>
          <w:b/>
          <w:bCs/>
          <w:color w:val="64748B"/>
          <w:sz w:val="22"/>
          <w:szCs w:val="22"/>
        </w:rPr>
        <w:t>i</w:t>
      </w:r>
      <w:proofErr w:type="spellEnd"/>
      <w:r w:rsidRPr="00F208EA">
        <w:rPr>
          <w:rFonts w:ascii="Calibri" w:eastAsia="Calibri" w:hAnsi="Calibri" w:cs="Calibri"/>
          <w:b/>
          <w:bCs/>
          <w:color w:val="64748B"/>
          <w:sz w:val="22"/>
          <w:szCs w:val="22"/>
        </w:rPr>
        <w:t>) the Operating Agreement for the Company and (ii) a separate IP Assignment Agreement. The documents will be signed together, the governance and IP provisions will become effective upon formation of the LLC, and the Non-Managing Member’s 25% ownership interest will become effective when the $3,500 Initial Contribution has been fully completed and credited.</w:t>
      </w:r>
    </w:p>
    <w:p w14:paraId="12D6D01A" w14:textId="62E44969" w:rsidR="0099146B" w:rsidRDefault="0099146B" w:rsidP="00F208EA">
      <w:pPr>
        <w:spacing w:after="160" w:line="276" w:lineRule="auto"/>
      </w:pPr>
    </w:p>
    <w:sectPr w:rsidR="0099146B">
      <w:headerReference w:type="default" r:id="rId7"/>
      <w:footerReference w:type="default" r:id="rId8"/>
      <w:pgSz w:w="11906" w:h="16838"/>
      <w:pgMar w:top="1727"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2131" w14:textId="77777777" w:rsidR="002F705E" w:rsidRDefault="002F705E">
      <w:r>
        <w:separator/>
      </w:r>
    </w:p>
  </w:endnote>
  <w:endnote w:type="continuationSeparator" w:id="0">
    <w:p w14:paraId="4929C527" w14:textId="77777777" w:rsidR="002F705E" w:rsidRDefault="002F7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EEB5" w14:textId="77777777" w:rsidR="0099146B" w:rsidRDefault="00000000">
    <w:pPr>
      <w:pBdr>
        <w:top w:val="single" w:sz="1" w:space="6" w:color="CBD5E1"/>
      </w:pBdr>
      <w:tabs>
        <w:tab w:val="right" w:pos="9026"/>
      </w:tabs>
      <w:spacing w:before="80"/>
    </w:pPr>
    <w:r>
      <w:rPr>
        <w:rFonts w:ascii="Calibri" w:eastAsia="Calibri" w:hAnsi="Calibri" w:cs="Calibri"/>
        <w:color w:val="94A3B8"/>
        <w:sz w:val="14"/>
        <w:szCs w:val="14"/>
      </w:rPr>
      <w:t xml:space="preserve">Sanoj </w:t>
    </w:r>
    <w:proofErr w:type="gramStart"/>
    <w:r>
      <w:rPr>
        <w:rFonts w:ascii="Calibri" w:eastAsia="Calibri" w:hAnsi="Calibri" w:cs="Calibri"/>
        <w:color w:val="94A3B8"/>
        <w:sz w:val="14"/>
        <w:szCs w:val="14"/>
      </w:rPr>
      <w:t>Allen  ·</w:t>
    </w:r>
    <w:proofErr w:type="gramEnd"/>
    <w:r>
      <w:rPr>
        <w:rFonts w:ascii="Calibri" w:eastAsia="Calibri" w:hAnsi="Calibri" w:cs="Calibri"/>
        <w:color w:val="94A3B8"/>
        <w:sz w:val="14"/>
        <w:szCs w:val="14"/>
      </w:rPr>
      <w:t xml:space="preserve">  </w:t>
    </w:r>
    <w:proofErr w:type="gramStart"/>
    <w:r>
      <w:rPr>
        <w:rFonts w:ascii="Calibri" w:eastAsia="Calibri" w:hAnsi="Calibri" w:cs="Calibri"/>
        <w:color w:val="94A3B8"/>
        <w:sz w:val="14"/>
        <w:szCs w:val="14"/>
      </w:rPr>
      <w:t>Founder  ·</w:t>
    </w:r>
    <w:proofErr w:type="gramEnd"/>
    <w:r>
      <w:rPr>
        <w:rFonts w:ascii="Calibri" w:eastAsia="Calibri" w:hAnsi="Calibri" w:cs="Calibri"/>
        <w:color w:val="94A3B8"/>
        <w:sz w:val="14"/>
        <w:szCs w:val="14"/>
      </w:rPr>
      <w:t xml:space="preserve">  </w:t>
    </w:r>
    <w:proofErr w:type="gramStart"/>
    <w:r>
      <w:rPr>
        <w:rFonts w:ascii="Calibri" w:eastAsia="Calibri" w:hAnsi="Calibri" w:cs="Calibri"/>
        <w:color w:val="94A3B8"/>
        <w:sz w:val="14"/>
        <w:szCs w:val="14"/>
      </w:rPr>
      <w:t>sanoj@sheplegal.com  ·</w:t>
    </w:r>
    <w:proofErr w:type="gramEnd"/>
    <w:r>
      <w:rPr>
        <w:rFonts w:ascii="Calibri" w:eastAsia="Calibri" w:hAnsi="Calibri" w:cs="Calibri"/>
        <w:color w:val="94A3B8"/>
        <w:sz w:val="14"/>
        <w:szCs w:val="14"/>
      </w:rPr>
      <w:t xml:space="preserve">  (678) 939-4428</w:t>
    </w:r>
    <w:r>
      <w:tab/>
    </w:r>
    <w:r>
      <w:rPr>
        <w:rFonts w:ascii="Calibri" w:eastAsia="Calibri" w:hAnsi="Calibri" w:cs="Calibri"/>
        <w:color w:val="94A3B8"/>
        <w:sz w:val="14"/>
        <w:szCs w:val="14"/>
      </w:rPr>
      <w:t xml:space="preserve">Page </w:t>
    </w:r>
    <w:r>
      <w:rPr>
        <w:rFonts w:ascii="Calibri" w:eastAsia="Calibri" w:hAnsi="Calibri" w:cs="Calibri"/>
        <w:color w:val="94A3B8"/>
        <w:sz w:val="14"/>
        <w:szCs w:val="14"/>
      </w:rPr>
      <w:fldChar w:fldCharType="begin"/>
    </w:r>
    <w:r>
      <w:rPr>
        <w:rFonts w:ascii="Calibri" w:eastAsia="Calibri" w:hAnsi="Calibri" w:cs="Calibri"/>
        <w:color w:val="94A3B8"/>
        <w:sz w:val="14"/>
        <w:szCs w:val="14"/>
      </w:rPr>
      <w:instrText>PAGE</w:instrText>
    </w:r>
    <w:r>
      <w:rPr>
        <w:rFonts w:ascii="Calibri" w:eastAsia="Calibri" w:hAnsi="Calibri" w:cs="Calibri"/>
        <w:color w:val="94A3B8"/>
        <w:sz w:val="14"/>
        <w:szCs w:val="14"/>
      </w:rPr>
      <w:fldChar w:fldCharType="separate"/>
    </w:r>
    <w:r w:rsidR="00F208EA">
      <w:rPr>
        <w:rFonts w:ascii="Calibri" w:eastAsia="Calibri" w:hAnsi="Calibri" w:cs="Calibri"/>
        <w:noProof/>
        <w:color w:val="94A3B8"/>
        <w:sz w:val="14"/>
        <w:szCs w:val="14"/>
      </w:rPr>
      <w:t>1</w:t>
    </w:r>
    <w:r>
      <w:rPr>
        <w:rFonts w:ascii="Calibri" w:eastAsia="Calibri" w:hAnsi="Calibri" w:cs="Calibri"/>
        <w:color w:val="94A3B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DC194" w14:textId="77777777" w:rsidR="002F705E" w:rsidRDefault="002F705E">
      <w:r>
        <w:separator/>
      </w:r>
    </w:p>
  </w:footnote>
  <w:footnote w:type="continuationSeparator" w:id="0">
    <w:p w14:paraId="2E5A633B" w14:textId="77777777" w:rsidR="002F705E" w:rsidRDefault="002F7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EF26" w14:textId="77777777" w:rsidR="0099146B" w:rsidRDefault="00000000">
    <w:pPr>
      <w:pBdr>
        <w:bottom w:val="single" w:sz="2" w:space="8" w:color="0F172A"/>
      </w:pBdr>
      <w:tabs>
        <w:tab w:val="right" w:pos="9026"/>
      </w:tabs>
      <w:spacing w:after="80"/>
    </w:pPr>
    <w:proofErr w:type="gramStart"/>
    <w:r>
      <w:rPr>
        <w:rFonts w:ascii="Georgia" w:eastAsia="Georgia" w:hAnsi="Georgia" w:cs="Georgia"/>
        <w:b/>
        <w:bCs/>
        <w:color w:val="0F172A"/>
        <w:sz w:val="28"/>
        <w:szCs w:val="28"/>
      </w:rPr>
      <w:t>S  H</w:t>
    </w:r>
    <w:proofErr w:type="gramEnd"/>
    <w:r>
      <w:rPr>
        <w:rFonts w:ascii="Georgia" w:eastAsia="Georgia" w:hAnsi="Georgia" w:cs="Georgia"/>
        <w:b/>
        <w:bCs/>
        <w:color w:val="0F172A"/>
        <w:sz w:val="28"/>
        <w:szCs w:val="28"/>
      </w:rPr>
      <w:t xml:space="preserve">  </w:t>
    </w:r>
    <w:proofErr w:type="gramStart"/>
    <w:r>
      <w:rPr>
        <w:rFonts w:ascii="Georgia" w:eastAsia="Georgia" w:hAnsi="Georgia" w:cs="Georgia"/>
        <w:b/>
        <w:bCs/>
        <w:color w:val="0F172A"/>
        <w:sz w:val="28"/>
        <w:szCs w:val="28"/>
      </w:rPr>
      <w:t>E  P</w:t>
    </w:r>
    <w:proofErr w:type="gramEnd"/>
    <w:r>
      <w:tab/>
    </w:r>
    <w:r>
      <w:rPr>
        <w:rFonts w:ascii="Calibri" w:eastAsia="Calibri" w:hAnsi="Calibri" w:cs="Calibri"/>
        <w:color w:val="94A3B8"/>
        <w:sz w:val="16"/>
        <w:szCs w:val="16"/>
      </w:rPr>
      <w:t>sheplegal.com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B3874"/>
    <w:multiLevelType w:val="hybridMultilevel"/>
    <w:tmpl w:val="D20EECD4"/>
    <w:lvl w:ilvl="0" w:tplc="3D86B3B6">
      <w:start w:val="1"/>
      <w:numFmt w:val="bullet"/>
      <w:lvlText w:val="●"/>
      <w:lvlJc w:val="left"/>
      <w:pPr>
        <w:ind w:left="720" w:hanging="360"/>
      </w:pPr>
    </w:lvl>
    <w:lvl w:ilvl="1" w:tplc="F84C3102">
      <w:start w:val="1"/>
      <w:numFmt w:val="bullet"/>
      <w:lvlText w:val="○"/>
      <w:lvlJc w:val="left"/>
      <w:pPr>
        <w:ind w:left="1440" w:hanging="360"/>
      </w:pPr>
    </w:lvl>
    <w:lvl w:ilvl="2" w:tplc="A4DAEEB6">
      <w:start w:val="1"/>
      <w:numFmt w:val="bullet"/>
      <w:lvlText w:val="■"/>
      <w:lvlJc w:val="left"/>
      <w:pPr>
        <w:ind w:left="2160" w:hanging="360"/>
      </w:pPr>
    </w:lvl>
    <w:lvl w:ilvl="3" w:tplc="6ED8B03E">
      <w:start w:val="1"/>
      <w:numFmt w:val="bullet"/>
      <w:lvlText w:val="●"/>
      <w:lvlJc w:val="left"/>
      <w:pPr>
        <w:ind w:left="2880" w:hanging="360"/>
      </w:pPr>
    </w:lvl>
    <w:lvl w:ilvl="4" w:tplc="CBCA78D2">
      <w:start w:val="1"/>
      <w:numFmt w:val="bullet"/>
      <w:lvlText w:val="○"/>
      <w:lvlJc w:val="left"/>
      <w:pPr>
        <w:ind w:left="3600" w:hanging="360"/>
      </w:pPr>
    </w:lvl>
    <w:lvl w:ilvl="5" w:tplc="A2263B46">
      <w:start w:val="1"/>
      <w:numFmt w:val="bullet"/>
      <w:lvlText w:val="■"/>
      <w:lvlJc w:val="left"/>
      <w:pPr>
        <w:ind w:left="4320" w:hanging="360"/>
      </w:pPr>
    </w:lvl>
    <w:lvl w:ilvl="6" w:tplc="447CCCC4">
      <w:start w:val="1"/>
      <w:numFmt w:val="bullet"/>
      <w:lvlText w:val="●"/>
      <w:lvlJc w:val="left"/>
      <w:pPr>
        <w:ind w:left="5040" w:hanging="360"/>
      </w:pPr>
    </w:lvl>
    <w:lvl w:ilvl="7" w:tplc="EFE84F1C">
      <w:start w:val="1"/>
      <w:numFmt w:val="bullet"/>
      <w:lvlText w:val="●"/>
      <w:lvlJc w:val="left"/>
      <w:pPr>
        <w:ind w:left="5760" w:hanging="360"/>
      </w:pPr>
    </w:lvl>
    <w:lvl w:ilvl="8" w:tplc="74F4597A">
      <w:start w:val="1"/>
      <w:numFmt w:val="bullet"/>
      <w:lvlText w:val="●"/>
      <w:lvlJc w:val="left"/>
      <w:pPr>
        <w:ind w:left="6480" w:hanging="360"/>
      </w:pPr>
    </w:lvl>
  </w:abstractNum>
  <w:num w:numId="1" w16cid:durableId="10974860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46B"/>
    <w:rsid w:val="002F705E"/>
    <w:rsid w:val="0099146B"/>
    <w:rsid w:val="00F208EA"/>
    <w:rsid w:val="00F86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33CAF"/>
  <w15:docId w15:val="{154DE68B-6645-47F8-907C-3BCACAF8C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5108</Characters>
  <Application>Microsoft Office Word</Application>
  <DocSecurity>0</DocSecurity>
  <Lines>42</Lines>
  <Paragraphs>11</Paragraphs>
  <ScaleCrop>false</ScaleCrop>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Sanoj Allen</cp:lastModifiedBy>
  <cp:revision>2</cp:revision>
  <dcterms:created xsi:type="dcterms:W3CDTF">2026-04-10T22:11:00Z</dcterms:created>
  <dcterms:modified xsi:type="dcterms:W3CDTF">2026-04-11T00:38:00Z</dcterms:modified>
</cp:coreProperties>
</file>