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1" w:name="cite-ae06cc8e-71aa-40a3-aab4-ec51789e44e0"/>
      <w:bookmarkStart w:id="0" w:name="cite-437ad801-b207-4c56-85b3-e60f8d172c58"/>
      <w:pPr/>
      <w:r>
        <w:t xml:space="preserve">This is a well-framed set of questions, and the tension you've identified is real. Let me work through each one. I should note at the outset that the documents in your vault are the SHEP LLC Operating Agreement and Deal Memo — they govern the existing New York LLC structure, not the prospective Delaware C-corporation you're forming through Atlas. </w:t>
      </w:r>
      <w:bookmarkEnd w:id="0"/>
      <w:hyperlink w:anchor="ref-437ad801-b207-4c56-85b3-e60f8d172c58">
        <w:r>
          <w:rPr>
            <w:color w:val="0000EE"/>
            <w:u w:val="single"/>
          </w:rPr>
          <w:t>[1]</w:t>
        </w:r>
      </w:hyperlink>
      <w:r>
        <w:t xml:space="preserve"> </w:t>
      </w:r>
      <w:bookmarkEnd w:id="1"/>
      <w:hyperlink w:anchor="ref-ae06cc8e-71aa-40a3-aab4-ec51789e44e0">
        <w:r>
          <w:rPr>
            <w:color w:val="0000EE"/>
            <w:u w:val="single"/>
          </w:rPr>
          <w:t>[2]</w:t>
        </w:r>
      </w:hyperlink>
      <w:r>
        <w:t>. The Atlas RSPA is a separate document you haven't yet executed, so my analysis of that instrument is based on what is publicly known about the Stripe Atlas / Cooley template rather than a document I can review verbatim. With that caveat, here is my guidance.</w:t>
      </w:r>
      <w:r/>
    </w:p>
    <w:p>
      <w:pPr>
        <w:pStyle w:val="Heading2"/>
      </w:pPr>
      <w:r>
        <w:t>1. How Atlas's Standard RSPA Defines Continuous Service</w:t>
      </w:r>
      <w:r/>
    </w:p>
    <w:p>
      <w:pPr/>
      <w:r>
        <w:t xml:space="preserve">The Stripe Atlas formation flow uses Cooley LLP's standard startup document suite. The standard Cooley RSPA (and the related equity incentive plan template) defines </w:t>
      </w:r>
      <w:r>
        <w:rPr>
          <w:b/>
        </w:rPr>
        <w:t>"Continuous Service"</w:t>
      </w:r>
      <w:r>
        <w:t xml:space="preserve"> broadly to mean service to the company as an </w:t>
      </w:r>
      <w:r>
        <w:rPr>
          <w:b/>
        </w:rPr>
        <w:t>employee, director, or consultant</w:t>
      </w:r>
      <w:r>
        <w:t xml:space="preserve"> — and it typically provides that a change in the capacity of service (e.g., from employee to director, or from employee to consultant) does </w:t>
      </w:r>
      <w:r>
        <w:rPr>
          <w:b/>
        </w:rPr>
        <w:t>not</w:t>
      </w:r>
      <w:r>
        <w:t xml:space="preserve"> constitute a termination of Continuous Service, so long as there is no interruption or gap in the individual's service relationship with the company.</w:t>
      </w:r>
      <w:r/>
    </w:p>
    <w:p>
      <w:pPr/>
      <w:r>
        <w:t xml:space="preserve">Under this standard definition, if Sanoj ceases to be an employee (or was never classified as one) but </w:t>
      </w:r>
      <w:r>
        <w:rPr>
          <w:b/>
        </w:rPr>
        <w:t>continues to serve as a director and/or officer</w:t>
      </w:r>
      <w:r>
        <w:t xml:space="preserve"> of the corporation without interruption, that transition should </w:t>
      </w:r>
      <w:r>
        <w:rPr>
          <w:b/>
        </w:rPr>
        <w:t>not</w:t>
      </w:r>
      <w:r>
        <w:t xml:space="preserve"> constitute a termination of Continuous Service and should </w:t>
      </w:r>
      <w:r>
        <w:rPr>
          <w:b/>
        </w:rPr>
        <w:t>not</w:t>
      </w:r>
      <w:r>
        <w:t xml:space="preserve"> trigger the company's repurchase right over unvested shares. The definition is capacity-agnostic — what matters is that some recognized service relationship persists.</w:t>
      </w:r>
      <w:r/>
    </w:p>
    <w:p>
      <w:pPr/>
      <w:r>
        <w:rPr>
          <w:b/>
        </w:rPr>
        <w:t>However</w:t>
      </w:r>
      <w:r>
        <w:t xml:space="preserve">, there are two important caveats. First, you need to </w:t>
      </w:r>
      <w:r>
        <w:rPr>
          <w:b/>
        </w:rPr>
        <w:t>confirm the exact language</w:t>
      </w:r>
      <w:r>
        <w:t xml:space="preserve"> in the RSPA Atlas generates for you. While the standard Cooley template works this way, Atlas may have modified it. Once you receive the documents, search for "Continuous Service" or "Continuous Service Status" and verify that it explicitly lists "Director" and/or "Consultant" alongside "Employee." Second, Sanoj should be </w:t>
      </w:r>
      <w:r>
        <w:rPr>
          <w:b/>
        </w:rPr>
        <w:t>formally appointed as a director and officer in the corporate records</w:t>
      </w:r>
      <w:r>
        <w:t xml:space="preserve"> at formation — the board minutes, bylaws, and any written consents should clearly reflect his role. A vague, undocumented expectation that he "still runs things" is not the same as a formal directorship that satisfies the RSPA definition.</w:t>
      </w:r>
      <w:r/>
    </w:p>
    <w:p>
      <w:pPr/>
      <w:r>
        <w:t xml:space="preserve">If the standard definition is in place and Sanoj holds an uninterrupted director/officer role, his return to Seward &amp; Kissel should </w:t>
      </w:r>
      <w:r>
        <w:rPr>
          <w:b/>
        </w:rPr>
        <w:t>not</w:t>
      </w:r>
      <w:r>
        <w:t xml:space="preserve"> trigger a repurchase event.</w:t>
      </w:r>
      <w:r/>
    </w:p>
    <w:p>
      <w:pPr>
        <w:pStyle w:val="Heading2"/>
      </w:pPr>
      <w:r>
        <w:t>2. Is the 4-Year No-Cliff Vesting Appropriate, Harmful, or Manageable?</w:t>
      </w:r>
      <w:r/>
    </w:p>
    <w:p>
      <w:pPr/>
      <w:r>
        <w:t xml:space="preserve">It is </w:t>
      </w:r>
      <w:r>
        <w:rPr>
          <w:b/>
        </w:rPr>
        <w:t>manageable but suboptimal</w:t>
      </w:r>
      <w:r>
        <w:t xml:space="preserve"> for your specific situation, for several reasons.</w:t>
      </w:r>
      <w:r/>
    </w:p>
    <w:p>
      <w:pPr/>
      <w:r>
        <w:rPr>
          <w:b/>
        </w:rPr>
        <w:t>Why it's manageable.</w:t>
      </w:r>
      <w:r>
        <w:t xml:space="preserve"> If the Continuous Service definition works as described above, the 4-year vesting schedule does not create an immediate forfeiture risk for Sanoj in October. His shares will continue vesting as long as he remains a director or officer. With no cliff, vesting accrues monthly from day one, so there is no binary pass/fail milestone. By October 2026 (~6 months in), he will have vested roughly 12.5% of his shares, and the remaining 87.5% will continue vesting over the subsequent 42 months of continued service as a director/officer.</w:t>
      </w:r>
      <w:r/>
    </w:p>
    <w:p>
      <w:bookmarkStart w:id="4" w:name="cite-0a3c8476-a4b0-4fd4-a539-337ac0962dbd"/>
      <w:bookmarkStart w:id="3" w:name="cite-75d2f123-0566-4134-bc87-97c79eb25692"/>
      <w:bookmarkStart w:id="2" w:name="cite-c568c155-8595-47de-bf39-76293cbf5a92"/>
      <w:pPr/>
      <w:r>
        <w:rPr>
          <w:b/>
        </w:rPr>
        <w:t>Why it's suboptimal.</w:t>
      </w:r>
      <w:r>
        <w:t xml:space="preserve"> Your existing LLC deal was explicitly structured with </w:t>
      </w:r>
      <w:r>
        <w:rPr>
          <w:b/>
        </w:rPr>
        <w:t>no vesting schedule</w:t>
      </w:r>
      <w:r>
        <w:t xml:space="preserve"> — that was a deliberate choice reflecting the reality that Sanoj built the entire product pre-formation and is the sole operator. </w:t>
      </w:r>
      <w:bookmarkEnd w:id="2"/>
      <w:hyperlink w:anchor="ref-c568c155-8595-47de-bf39-76293cbf5a92">
        <w:r>
          <w:rPr>
            <w:color w:val="0000EE"/>
            <w:u w:val="single"/>
          </w:rPr>
          <w:t>[3]</w:t>
        </w:r>
      </w:hyperlink>
      <w:r>
        <w:t xml:space="preserve">. A 4-year vesting schedule on Sanoj's shares creates a 3.5-year window during which a dispute between the founders, an involuntary removal from the board, or any other event that severs Sanoj's Continuous Service could result in forfeiture of a substantial portion of his equity. That is a meaningful risk even if the October transition itself is safe. Additionally, applying the same vesting structure to Will — whose role is advisory and whose contribution is ~$550/month in operating expenses and weekly calls — gives Will's unvested shares the same forfeiture protections as Sanoj's, despite fundamentally different contribution levels. </w:t>
      </w:r>
      <w:bookmarkEnd w:id="3"/>
      <w:hyperlink w:anchor="ref-75d2f123-0566-4134-bc87-97c79eb25692">
        <w:r>
          <w:rPr>
            <w:color w:val="0000EE"/>
            <w:u w:val="single"/>
          </w:rPr>
          <w:t>[4]</w:t>
        </w:r>
      </w:hyperlink>
      <w:r>
        <w:t xml:space="preserve"> </w:t>
      </w:r>
      <w:bookmarkEnd w:id="4"/>
      <w:hyperlink w:anchor="ref-0a3c8476-a4b0-4fd4-a539-337ac0962dbd">
        <w:r>
          <w:rPr>
            <w:color w:val="0000EE"/>
            <w:u w:val="single"/>
          </w:rPr>
          <w:t>[5]</w:t>
        </w:r>
      </w:hyperlink>
      <w:r/>
    </w:p>
    <w:p>
      <w:bookmarkStart w:id="6" w:name="cite-f8dccd76-d365-489c-9ad2-b8cdb5dbccd0"/>
      <w:bookmarkStart w:id="5" w:name="cite-230783a9-7cac-4433-a7c2-3a99cb85e408"/>
      <w:pPr/>
      <w:r>
        <w:rPr>
          <w:b/>
        </w:rPr>
        <w:t>The core risk is not October.</w:t>
      </w:r>
      <w:r>
        <w:t xml:space="preserve"> The core risk is the 42 months </w:t>
      </w:r>
      <w:r>
        <w:rPr>
          <w:i/>
        </w:rPr>
        <w:t>after</w:t>
      </w:r>
      <w:r>
        <w:t xml:space="preserve"> October during which Sanoj's unvested shares remain subject to repurchase. If the board composition ever changes (e.g., if investors are added and Sanoj loses his board seat), or if a dispute with Will leads to removal proceedings, the repurchase right becomes a weapon. Your LLC Operating Agreement addressed the analogous scenario through the "Disengagement Event" concept — requiring 60 days of material cessation plus a 15-day cure period before triggering a buyout, and even then only at fair market value. </w:t>
      </w:r>
      <w:bookmarkEnd w:id="5"/>
      <w:hyperlink w:anchor="ref-230783a9-7cac-4433-a7c2-3a99cb85e408">
        <w:r>
          <w:rPr>
            <w:color w:val="0000EE"/>
            <w:u w:val="single"/>
          </w:rPr>
          <w:t>[6]</w:t>
        </w:r>
      </w:hyperlink>
      <w:r>
        <w:t xml:space="preserve"> </w:t>
      </w:r>
      <w:bookmarkEnd w:id="6"/>
      <w:hyperlink w:anchor="ref-f8dccd76-d365-489c-9ad2-b8cdb5dbccd0">
        <w:r>
          <w:rPr>
            <w:color w:val="0000EE"/>
            <w:u w:val="single"/>
          </w:rPr>
          <w:t>[7]</w:t>
        </w:r>
      </w:hyperlink>
      <w:r>
        <w:t>. The Atlas RSPA repurchase right, by contrast, typically allows repurchase of unvested shares at the original purchase price ($0.0001/share) — which is effectively confiscation.</w:t>
      </w:r>
      <w:r/>
    </w:p>
    <w:p>
      <w:pPr>
        <w:pStyle w:val="Heading2"/>
      </w:pPr>
      <w:r>
        <w:t>3. Recommendation: Atlas + Modify, or DIY?</w:t>
      </w:r>
      <w:r/>
    </w:p>
    <w:p>
      <w:pPr/>
      <w:r>
        <w:t xml:space="preserve">My recommendation is </w:t>
      </w:r>
      <w:r>
        <w:rPr>
          <w:b/>
        </w:rPr>
        <w:t>Option 2: Accept Atlas's documents and modify the RSPAs immediately after formation.</w:t>
      </w:r>
      <w:r>
        <w:t xml:space="preserve"> Here is the reasoning.</w:t>
      </w:r>
      <w:r/>
    </w:p>
    <w:p>
      <w:bookmarkStart w:id="7" w:name="cite-c568c155-8595-47de-bf39-76293cbf5a92"/>
      <w:pPr/>
      <w:r>
        <w:rPr>
          <w:b/>
        </w:rPr>
        <w:t>Why not Option 1 (accept Atlas and rely on the standard definition).</w:t>
      </w:r>
      <w:r>
        <w:t xml:space="preserve"> While the standard Continuous Service definition likely protects Sanoj in October, relying on boilerplate language for a $6.75M-share position without verifying and, if necessary, customizing it is imprudent. The deal you negotiated in the LLC context explicitly provided for no vesting. </w:t>
      </w:r>
      <w:bookmarkEnd w:id="7"/>
      <w:hyperlink w:anchor="ref-c568c155-8595-47de-bf39-76293cbf5a92">
        <w:r>
          <w:rPr>
            <w:color w:val="0000EE"/>
            <w:u w:val="single"/>
          </w:rPr>
          <w:t>[3]</w:t>
        </w:r>
      </w:hyperlink>
      <w:r>
        <w:t>. Converting to a C-corporation should implement the same economic deal unless both founders agree otherwise.</w:t>
      </w:r>
      <w:r/>
    </w:p>
    <w:p>
      <w:pPr/>
      <w:r>
        <w:rPr>
          <w:b/>
        </w:rPr>
        <w:t>Why not Option 3 (abandon Atlas for DIY).</w:t>
      </w:r>
      <w:r>
        <w:t xml:space="preserve"> The cost savings of DIY ($148–$234 for filing + registered agent vs. Atlas's ~$500 total) are modest — roughly $266–$352 in additional Atlas fees — and are substantially offset by the $2,500 in Stripe processing credits. More importantly, Atlas delivers Cooley-drafted documents (certificate of incorporation, bylaws, board consents, 83(b) election forms, RSPAs, indemnification agreements, and an equity incentive plan) that would cost thousands of dollars to replicate with outside counsel. The document quality is high, and for a company that may seek institutional financing later, having a recognized Cooley template as your baseline is a meaningful credibility benefit. Abandoning Atlas to save a few hundred dollars while losing the credits and the document suite is not justified by the vesting issue alone, because the vesting issue can be fixed post-formation.</w:t>
      </w:r>
      <w:r/>
    </w:p>
    <w:p>
      <w:bookmarkStart w:id="8" w:name="cite-c568c155-8595-47de-bf39-76293cbf5a92"/>
      <w:pPr/>
      <w:r>
        <w:rPr>
          <w:b/>
        </w:rPr>
        <w:t>Why Option 2 works.</w:t>
      </w:r>
      <w:r>
        <w:t xml:space="preserve"> After Atlas completes formation and issues the shares subject to the RSPAs, the </w:t>
      </w:r>
      <w:r>
        <w:rPr>
          <w:b/>
        </w:rPr>
        <w:t>board of directors</w:t>
      </w:r>
      <w:r>
        <w:t xml:space="preserve"> (which at formation will be Sanoj, or Sanoj and Will if you designate both) can </w:t>
      </w:r>
      <w:r>
        <w:rPr>
          <w:b/>
        </w:rPr>
        <w:t>amend the RSPAs by mutual written consent</w:t>
      </w:r>
      <w:r>
        <w:t xml:space="preserve"> of the company and each stockholder. The amendment can either (a) accelerate vesting on all shares immediately (effectively eliminating vesting), or (b) redefine or clarify the Continuous Service definition, or (c) waive the company's repurchase right entirely. Since both founders agree that the intended deal is no vesting, this amendment should be straightforward to execute. </w:t>
      </w:r>
      <w:bookmarkEnd w:id="8"/>
      <w:hyperlink w:anchor="ref-c568c155-8595-47de-bf39-76293cbf5a92">
        <w:r>
          <w:rPr>
            <w:color w:val="0000EE"/>
            <w:u w:val="single"/>
          </w:rPr>
          <w:t>[3]</w:t>
        </w:r>
      </w:hyperlink>
      <w:r>
        <w:t xml:space="preserve"> The key is to do it </w:t>
      </w:r>
      <w:r>
        <w:rPr>
          <w:b/>
        </w:rPr>
        <w:t>promptly</w:t>
      </w:r>
      <w:r>
        <w:t xml:space="preserve"> — ideally the same day or within the first week after formation, before any vesting has occurred, so the amendment is clean.</w:t>
      </w:r>
      <w:r/>
    </w:p>
    <w:p>
      <w:pPr/>
      <w:r>
        <w:rPr>
          <w:b/>
        </w:rPr>
        <w:t>One important tax note on 83(b) elections.</w:t>
      </w:r>
      <w:r>
        <w:t xml:space="preserve"> Atlas will prompt both founders to file 83(b) elections within 30 days of the stock purchase. This election is </w:t>
      </w:r>
      <w:r>
        <w:rPr>
          <w:b/>
        </w:rPr>
        <w:t>critical</w:t>
      </w:r>
      <w:r>
        <w:t xml:space="preserve"> regardless of whether you later amend the vesting schedule. If Sanoj files an 83(b) election at the time of the stock purchase (when the shares are worth $0.0001 each and the tax is effectively zero), any future appreciation is taxed as capital gains rather than ordinary income. If you later accelerate vesting without having filed the 83(b), the acceleration itself could be a taxable event at the then-current fair market value. </w:t>
      </w:r>
      <w:r>
        <w:rPr>
          <w:b/>
        </w:rPr>
        <w:t>File the 83(b) elections on time no matter what.</w:t>
      </w:r>
      <w:r/>
    </w:p>
    <w:p>
      <w:pPr>
        <w:pStyle w:val="Heading2"/>
      </w:pPr>
      <w:r>
        <w:t>4. Specific Language for Continuous Service Protection</w:t>
      </w:r>
      <w:r/>
    </w:p>
    <w:p>
      <w:pPr/>
      <w:r>
        <w:t xml:space="preserve">If you proceed with Option 2, the most direct approach is to adopt a </w:t>
      </w:r>
      <w:r>
        <w:rPr>
          <w:b/>
        </w:rPr>
        <w:t>board resolution and bilateral RSPA amendment</w:t>
      </w:r>
      <w:r>
        <w:t xml:space="preserve"> that does one or both of the following:</w:t>
      </w:r>
      <w:r/>
    </w:p>
    <w:p>
      <w:pPr/>
      <w:r>
        <w:rPr>
          <w:b/>
        </w:rPr>
        <w:t>Option A — Eliminate vesting entirely (recommended).</w:t>
      </w:r>
      <w:r>
        <w:t xml:space="preserve"> The simplest amendment fully accelerates all unvested shares for both founders as of the amendment date. Sample operative language:</w:t>
      </w:r>
      <w:r/>
      <w:r/>
    </w:p>
    <w:p>
      <w:pPr/>
      <w:r>
        <w:rPr>
          <w:i/>
        </w:rPr>
        <w:t>"Notwithstanding anything to the contrary in the Restricted Stock Purchase Agreement dated [date] between the Company and [Stockholder] (the 'RSPA'), effective as of the date hereof, all Shares (as defined in the RSPA) that remain subject to the Company's Repurchase Option are hereby released from the Repurchase Option and shall be deemed fully vested. The Vesting Schedule set forth in the RSPA, and the Company's Repurchase Option with respect to any unvested Shares, are hereby terminated and of no further force or effect."</w:t>
      </w:r>
      <w:r/>
      <w:r/>
    </w:p>
    <w:p>
      <w:bookmarkStart w:id="9" w:name="cite-c568c155-8595-47de-bf39-76293cbf5a92"/>
      <w:pPr/>
      <w:r>
        <w:t xml:space="preserve">This matches the original deal structure — no vesting — and eliminates the issue entirely. </w:t>
      </w:r>
      <w:bookmarkEnd w:id="9"/>
      <w:hyperlink w:anchor="ref-c568c155-8595-47de-bf39-76293cbf5a92">
        <w:r>
          <w:rPr>
            <w:color w:val="0000EE"/>
            <w:u w:val="single"/>
          </w:rPr>
          <w:t>[3]</w:t>
        </w:r>
      </w:hyperlink>
      <w:r>
        <w:t>.</w:t>
      </w:r>
      <w:r/>
    </w:p>
    <w:p>
      <w:pPr/>
      <w:r>
        <w:rPr>
          <w:b/>
        </w:rPr>
        <w:t>Option B — Clarify Continuous Service (if you want to preserve vesting as a governance mechanism).</w:t>
      </w:r>
      <w:r>
        <w:t xml:space="preserve"> If for any reason you want to keep some form of vesting in place (e.g., as a discipline mechanism for Will's continued engagement), you could instead amend the definition of Continuous Service to make Sanoj's protection explicit:</w:t>
      </w:r>
      <w:r/>
      <w:r/>
    </w:p>
    <w:p>
      <w:pPr/>
      <w:r>
        <w:rPr>
          <w:i/>
        </w:rPr>
        <w:t>"For purposes of this Agreement, 'Continuous Service' means the Purchaser's service to the Company (or any parent or subsidiary) as an Employee, Director, Officer, or Consultant, whether or not compensated. A change in the capacity in which the Purchaser renders service to the Company shall not constitute a termination of Continuous Service, provided that there is no interruption of service. Service as a Director or Officer of the Company shall constitute Continuous Service regardless of whether the Purchaser is simultaneously employed by or consulting for any third party. For the avoidance of doubt, the Purchaser's commencement or resumption of employment with any entity other than the Company shall not, by itself, constitute a termination of Continuous Service so long as the Purchaser continues to serve as a Director or Officer of the Company."</w:t>
      </w:r>
      <w:r/>
      <w:r/>
    </w:p>
    <w:p>
      <w:pPr/>
      <w:r>
        <w:t>This language does three things: (1) it explicitly lists "Officer" alongside Director, Employee, and Consultant; (2) it confirms that third-party employment does not terminate Continuous Service; and (3) it includes a "for the avoidance of doubt" clause directly addressing the October scenario. If you adopt Option B, apply the same definition to both RSPAs for consistency.</w:t>
      </w:r>
      <w:r/>
    </w:p>
    <w:p>
      <w:pPr>
        <w:pStyle w:val="Heading2"/>
      </w:pPr>
      <w:r>
        <w:t>Summary of Practical Steps</w:t>
      </w:r>
      <w:r/>
    </w:p>
    <w:p>
      <w:pPr/>
      <w:r>
        <w:t>If you proceed with Atlas (which I recommend), the sequence is:</w:t>
      </w:r>
      <w:r/>
      <w:r/>
    </w:p>
    <w:p>
      <w:pPr>
        <w:pStyle w:val="ListNumber"/>
        <w:numPr>
          <w:ilvl w:val="0"/>
          <w:numId w:val="12"/>
        </w:numPr>
        <w:spacing w:after="0" w:line="240" w:lineRule="auto"/>
      </w:pPr>
      <w:r>
        <w:rPr>
          <w:b/>
        </w:rPr>
        <w:t>Complete the Atlas formation flow</w:t>
      </w:r>
      <w:r>
        <w:t xml:space="preserve"> with the 4-year no-cliff vesting for both founders.</w:t>
      </w:r>
      <w:r/>
    </w:p>
    <w:p>
      <w:pPr>
        <w:pStyle w:val="ListNumber"/>
        <w:numPr>
          <w:ilvl w:val="0"/>
          <w:numId w:val="12"/>
        </w:numPr>
        <w:spacing w:after="0" w:line="240" w:lineRule="auto"/>
      </w:pPr>
      <w:r>
        <w:rPr>
          <w:b/>
        </w:rPr>
        <w:t>File 83(b) elections</w:t>
      </w:r>
      <w:r>
        <w:t xml:space="preserve"> for both Sanoj and Will within 30 days of the stock purchase date. Do not miss this deadline.</w:t>
      </w:r>
      <w:r/>
    </w:p>
    <w:p>
      <w:pPr>
        <w:pStyle w:val="ListNumber"/>
        <w:numPr>
          <w:ilvl w:val="0"/>
          <w:numId w:val="12"/>
        </w:numPr>
        <w:spacing w:after="0" w:line="240" w:lineRule="auto"/>
      </w:pPr>
      <w:r>
        <w:rPr>
          <w:b/>
        </w:rPr>
        <w:t>Within the first week after formation</w:t>
      </w:r>
      <w:r>
        <w:t>, have the board adopt a resolution and execute bilateral amendments to both RSPAs fully accelerating all founder shares (Option A above), or alternatively clarifying the Continuous Service definition (Option B).</w:t>
      </w:r>
      <w:r/>
    </w:p>
    <w:p>
      <w:pPr>
        <w:pStyle w:val="ListNumber"/>
        <w:numPr>
          <w:ilvl w:val="0"/>
          <w:numId w:val="12"/>
        </w:numPr>
        <w:spacing w:after="0" w:line="240" w:lineRule="auto"/>
      </w:pPr>
      <w:r>
        <w:rPr>
          <w:b/>
        </w:rPr>
        <w:t>Verify Sanoj's formal appointment</w:t>
      </w:r>
      <w:r>
        <w:t xml:space="preserve"> as CEO and director in the initial board consents and keep this current through and beyond October.</w:t>
      </w:r>
      <w:r/>
    </w:p>
    <w:p>
      <w:bookmarkStart w:id="10" w:name="cite-c568c155-8595-47de-bf39-76293cbf5a92"/>
      <w:pPr>
        <w:pStyle w:val="ListNumber"/>
        <w:numPr>
          <w:ilvl w:val="0"/>
          <w:numId w:val="12"/>
        </w:numPr>
        <w:spacing w:after="0" w:line="240" w:lineRule="auto"/>
      </w:pPr>
      <w:r>
        <w:rPr>
          <w:b/>
        </w:rPr>
        <w:t>Preserve the paper trail</w:t>
      </w:r>
      <w:r>
        <w:t xml:space="preserve"> — the SHEP LLC Deal Memo already documents the founders' intent that there be no vesting schedule, which supports the post-formation amendment as implementing the original bargain rather than as a giveaway. </w:t>
      </w:r>
      <w:bookmarkEnd w:id="10"/>
      <w:hyperlink w:anchor="ref-c568c155-8595-47de-bf39-76293cbf5a92">
        <w:r>
          <w:rPr>
            <w:color w:val="0000EE"/>
            <w:u w:val="single"/>
          </w:rPr>
          <w:t>[3]</w:t>
        </w:r>
      </w:hyperlink>
      <w:r/>
      <w:r/>
    </w:p>
    <w:p>
      <w:bookmarkStart w:id="13" w:name="cite-a806d14f-e35b-4af5-91c3-b4d3441ff72b"/>
      <w:bookmarkStart w:id="12" w:name="cite-9ed4a09d-3586-4914-9ac8-83396a3ddf4c"/>
      <w:bookmarkStart w:id="11" w:name="cite-afe5230d-a766-4728-86e3-696241c23f4c"/>
      <w:pPr/>
      <w:r>
        <w:t xml:space="preserve">One final observation: your existing LLC Operating Agreement is governed by New York law and establishes a 75/25 member-managed LLC structure. </w:t>
      </w:r>
      <w:bookmarkEnd w:id="11"/>
      <w:hyperlink w:anchor="ref-afe5230d-a766-4728-86e3-696241c23f4c">
        <w:r>
          <w:rPr>
            <w:color w:val="0000EE"/>
            <w:u w:val="single"/>
          </w:rPr>
          <w:t>[8]</w:t>
        </w:r>
      </w:hyperlink>
      <w:r>
        <w:t xml:space="preserve">. The Atlas C-corporation will be a separate Delaware entity. You should think carefully about how the LLC-to-C-corp transition works — whether you are converting the LLC, dissolving it and contributing assets to the new corporation, or simply forming the corporation alongside the LLC. The IP assignment provisions in the Operating Agreement (Section 7, including the Founder IP reversion on dissolution) will need to be addressed cleanly in the transition. </w:t>
      </w:r>
      <w:bookmarkEnd w:id="12"/>
      <w:hyperlink w:anchor="ref-9ed4a09d-3586-4914-9ac8-83396a3ddf4c">
        <w:r>
          <w:rPr>
            <w:color w:val="0000EE"/>
            <w:u w:val="single"/>
          </w:rPr>
          <w:t>[9]</w:t>
        </w:r>
      </w:hyperlink>
      <w:r>
        <w:t xml:space="preserve"> </w:t>
      </w:r>
      <w:bookmarkEnd w:id="13"/>
      <w:hyperlink w:anchor="ref-a806d14f-e35b-4af5-91c3-b4d3441ff72b">
        <w:r>
          <w:rPr>
            <w:color w:val="0000EE"/>
            <w:u w:val="single"/>
          </w:rPr>
          <w:t>[10]</w:t>
        </w:r>
      </w:hyperlink>
      <w:r>
        <w:t>. That is a separate but important workstream.</w:t>
      </w:r>
      <w:r/>
    </w:p>
    <w:p/>
    <w:p>
      <w:r>
        <w:br w:type="page"/>
      </w:r>
    </w:p>
    <w:p>
      <w:pPr>
        <w:pStyle w:val="Heading2"/>
      </w:pPr>
      <w:r>
        <w:t>References</w:t>
      </w:r>
    </w:p>
    <w:p>
      <w:bookmarkStart w:id="14" w:name="ref-437ad801-b207-4c56-85b3-e60f8d172c58"/>
      <w:pPr>
        <w:pStyle w:val="ListNumber"/>
        <w:numPr>
          <w:ilvl w:val="0"/>
          <w:numId w:val="13"/>
        </w:numPr>
        <w:spacing w:after="0" w:line="240" w:lineRule="auto"/>
      </w:pPr>
      <w:bookmarkEnd w:id="14"/>
      <w:r>
        <w:t xml:space="preserve">Sanoj Allen &amp; William Groves Date: April __, 2026 </w:t>
      </w:r>
      <w:r>
        <w:rPr>
          <w:color w:val="0000FF"/>
        </w:rPr>
        <w:t>This memo summarizes how Sanoj Allen and William Groves plan to form an LLC to own and operate SHEP.</w:t>
      </w:r>
      <w:r>
        <w:t xml:space="preserve"> Two documents implement the deal: an Operating Agreement and an IP Assignment Agreement. This memo explains both in plain language. W H A T W E ' R E B U I L D I N G T O G E T H E R SHEP is a legal education platform that helps law students and bar exam takers practice writing legal analysis with AI-powered rubric-based feedback. The Company will (SHEP LLC Deal Memo v2.pdf)</w:t>
      </w:r>
    </w:p>
    <w:p>
      <w:bookmarkStart w:id="15" w:name="ref-ae06cc8e-71aa-40a3-aab4-ec51789e44e0"/>
      <w:pPr>
        <w:pStyle w:val="ListNumber"/>
        <w:numPr>
          <w:ilvl w:val="0"/>
          <w:numId w:val="13"/>
        </w:numPr>
        <w:spacing w:after="0" w:line="240" w:lineRule="auto"/>
      </w:pPr>
      <w:bookmarkEnd w:id="15"/>
      <w:r>
        <w:t xml:space="preserve">(678) 939-4428 Page 1 OPERATING AGREEMENT SHEP LLC </w:t>
      </w:r>
      <w:r>
        <w:rPr>
          <w:color w:val="0000FF"/>
        </w:rPr>
        <w:t>This Operating Agreement (this "Agreement") is entered into as of April __, 2026 (the "Signature Date"), by and between Sanoj Allen (the "Managing Member") and William Groves (the "Non- Managing Member," and together with the Managing Member, the "Parties"). This Agreement becomes effective upon the Company's formation under the laws of the State of New York (the "Effective Date").</w:t>
      </w:r>
      <w:r>
        <w:t xml:space="preserve"> The Non-Managing Member will be admitted as a Member, and the Percentage Interests set forth in Section 4.1 will become effective, only upon completion and crediting to the Company of the (OPERATING AGREEMENT of SHEP LLC.pdf)</w:t>
      </w:r>
    </w:p>
    <w:p>
      <w:bookmarkStart w:id="16" w:name="ref-c568c155-8595-47de-bf39-76293cbf5a92"/>
      <w:pPr>
        <w:pStyle w:val="ListNumber"/>
        <w:numPr>
          <w:ilvl w:val="0"/>
          <w:numId w:val="13"/>
        </w:numPr>
        <w:spacing w:after="0" w:line="240" w:lineRule="auto"/>
      </w:pPr>
      <w:bookmarkEnd w:id="16"/>
      <w:r>
        <w:t xml:space="preserve">Page 2 Operating Agreement's buyout process applies. </w:t>
      </w:r>
      <w:r>
        <w:rPr>
          <w:color w:val="0000FF"/>
        </w:rPr>
        <w:t>No vesting schedule.</w:t>
      </w:r>
      <w:r>
        <w:t xml:space="preserve"> New Ventures The LLC can pursue ventures beyond SHEP, but each one requires a separate written agreement on economics signed by both members before launch. Profit Sharing SHEP Business profits and distributions split 75/25 per ownership. New venture economics are negotiated separately per venture. W H O R U N S T H E C O M P A N Y Sanoj is the sole Manager and runs the day-to-day business. William does not have operational authority or blocking rights on routine decisions. Both members must approve a (SHEP LLC Deal Memo v2.pdf, Page 1)</w:t>
      </w:r>
    </w:p>
    <w:p>
      <w:bookmarkStart w:id="17" w:name="ref-75d2f123-0566-4134-bc87-97c79eb25692"/>
      <w:pPr>
        <w:pStyle w:val="ListNumber"/>
        <w:numPr>
          <w:ilvl w:val="0"/>
          <w:numId w:val="13"/>
        </w:numPr>
        <w:spacing w:after="0" w:line="240" w:lineRule="auto"/>
      </w:pPr>
      <w:bookmarkEnd w:id="17"/>
      <w:r>
        <w:t xml:space="preserve">ownership. Receipts kept for a clear paper trail. </w:t>
      </w:r>
      <w:r>
        <w:rPr>
          <w:color w:val="0000FF"/>
        </w:rPr>
        <w:t>William's Monthly Support (~$500/mo) Separately, William is expected to contribute approximately $500/month toward the Company's ongoing operating costs (infrastructure, hosting, tools). This is not a condition of ownership — it reflects William's commitment to supporting the business as an active partner. Ongoing Involvement William is expected to stay reasonably involved — weekly briefings, technical input, good-faith support.</w:t>
      </w:r>
      <w:r>
        <w:t xml:space="preserve"> If he materially disengages, the S H E P sheplegal.com Sanoj Allen · Founder · sanoj@sheplegal.com · (678) 939-4428 Page 2 Operating Agreement's buyout process applies. No vesting schedule. New Ventures The LLC (SHEP LLC Deal Memo v2.pdf)</w:t>
      </w:r>
    </w:p>
    <w:p>
      <w:bookmarkStart w:id="18" w:name="ref-0a3c8476-a4b0-4fd4-a539-337ac0962dbd"/>
      <w:pPr>
        <w:pStyle w:val="ListNumber"/>
        <w:numPr>
          <w:ilvl w:val="0"/>
          <w:numId w:val="13"/>
        </w:numPr>
        <w:spacing w:after="0" w:line="240" w:lineRule="auto"/>
      </w:pPr>
      <w:bookmarkEnd w:id="18"/>
      <w:r>
        <w:t xml:space="preserve">trail. William's Monthly Support (~$500/mo) Separately, </w:t>
      </w:r>
      <w:r>
        <w:rPr>
          <w:color w:val="0000FF"/>
        </w:rPr>
        <w:t>William is expected to contribute approximately $500/month toward the Company's ongoing operating costs (infrastructure, hosting, tools). This is not a condition of ownership — it reflects William's commitment to supporting the business as an active partner.</w:t>
      </w:r>
      <w:r>
        <w:t xml:space="preserve"> Ongoing Involvement William is expected to stay reasonably involved — weekly briefings, technical input, good-faith support. If he materially disengages, the S H E P sheplegal.com Sanoj Allen · Founder · sanoj@sheplegal.com · (678) 939-4428 Page 2 Operating Agreement's buyout process applies. No vesting schedule. New Ventures The LLC can pursue ventures beyond SHEP, but each (SHEP LLC Deal Memo v2.pdf)</w:t>
      </w:r>
    </w:p>
    <w:p>
      <w:bookmarkStart w:id="19" w:name="ref-230783a9-7cac-4433-a7c2-3a99cb85e408"/>
      <w:pPr>
        <w:pStyle w:val="ListNumber"/>
        <w:numPr>
          <w:ilvl w:val="0"/>
          <w:numId w:val="13"/>
        </w:numPr>
        <w:spacing w:after="0" w:line="240" w:lineRule="auto"/>
      </w:pPr>
      <w:bookmarkEnd w:id="19"/>
      <w:r>
        <w:t xml:space="preserve">Founder · sanoj@sheplegal.com · (678) 939-4428 Page 2 </w:t>
      </w:r>
      <w:r>
        <w:rPr>
          <w:color w:val="0000FF"/>
        </w:rPr>
        <w:t>"Disengagement Event" means a material cessation by a Member of participation in the business consistent with such Member's role for sixty (60) days after written notice and a fifteen (15) day cure period.</w:t>
      </w:r>
      <w:r>
        <w:t xml:space="preserve"> "Specified Transfer Event" means a Member's death, permanent incapacity, bankruptcy or insolvency proceeding, assignment for the benefit of creditors, or attempted transfer in violation of this Agreement. 1 . F O R M A T I O N ; P U R P O S E ; T E R M The Members have formed a limited (OPERATING AGREEMENT of SHEP LLC.pdf, Page 1)</w:t>
      </w:r>
    </w:p>
    <w:p>
      <w:bookmarkStart w:id="20" w:name="ref-f8dccd76-d365-489c-9ad2-b8cdb5dbccd0"/>
      <w:pPr>
        <w:pStyle w:val="ListNumber"/>
        <w:numPr>
          <w:ilvl w:val="0"/>
          <w:numId w:val="13"/>
        </w:numPr>
        <w:spacing w:after="0" w:line="240" w:lineRule="auto"/>
      </w:pPr>
      <w:bookmarkEnd w:id="20"/>
      <w:r>
        <w:rPr>
          <w:color w:val="0000FF"/>
        </w:rPr>
        <w:t>A Disengagement Event or a Specified Transfer Event with respect to a Member will give the Company, and if the Company does not elect the non-affected Member, the option to purchase all, but not less than all, of the affected Member's Percentage Interest at Fair Market Value on the payment terms set forth in Section 10.</w:t>
      </w:r>
      <w:r>
        <w:t xml:space="preserve"> Pending completion of any such purchase, any estate, guardian, trustee, receiver, creditor, or other successor to the affected Member will hold only the affected Member's economic rights and will have no right to participate in management or to become a substitute Member (OPERATING AGREEMENT of SHEP LLC.pdf, Page 4)</w:t>
      </w:r>
    </w:p>
    <w:p>
      <w:bookmarkStart w:id="21" w:name="ref-afe5230d-a766-4728-86e3-696241c23f4c"/>
      <w:pPr>
        <w:pStyle w:val="ListNumber"/>
        <w:numPr>
          <w:ilvl w:val="0"/>
          <w:numId w:val="13"/>
        </w:numPr>
        <w:spacing w:after="0" w:line="240" w:lineRule="auto"/>
      </w:pPr>
      <w:bookmarkEnd w:id="21"/>
      <w:r>
        <w:t xml:space="preserve">by the Managing Member and the Non-Managing Member. </w:t>
      </w:r>
      <w:r>
        <w:rPr>
          <w:color w:val="0000FF"/>
        </w:rPr>
        <w:t>This Agreement will be governed by the laws of the State of New York, without regard to conflict-of-law rules.</w:t>
      </w:r>
      <w:r>
        <w:t xml:space="preserve"> Each Party agrees to execute further documents reasonably necessary to carry out the intent of this Agreement, including confirmatory assignments and updates to Company records… (OPERATING AGREEMENT of SHEP LLC.pdf, Page 5)</w:t>
      </w:r>
    </w:p>
    <w:p>
      <w:bookmarkStart w:id="22" w:name="ref-9ed4a09d-3586-4914-9ac8-83396a3ddf4c"/>
      <w:pPr>
        <w:pStyle w:val="ListNumber"/>
        <w:numPr>
          <w:ilvl w:val="0"/>
          <w:numId w:val="13"/>
        </w:numPr>
        <w:spacing w:after="0" w:line="240" w:lineRule="auto"/>
      </w:pPr>
      <w:bookmarkEnd w:id="22"/>
      <w:r>
        <w:t xml:space="preserve">efforts to keep Company and personal funds separate. </w:t>
      </w:r>
      <w:r>
        <w:rPr>
          <w:color w:val="0000FF"/>
        </w:rPr>
        <w:t>7 . I P ; C O N F I D E N T I A L I T Y ; W O R K P R O D U C T 7.1 Assignment of Founder IP to Company The Managing Member hereby assigns to the Company all right, title, and interest in and to the Founder IP pursuant to the IP Assignment Agreement. The Members acknowledge that, as a matter of copyright law, a transfer of copyright ownership (other than by operation of law) is not valid unless in (OPERATING AGREEMENT of SHEP LLC.pdf, Page 2)</w:t>
      </w:r>
    </w:p>
    <w:p>
      <w:bookmarkStart w:id="23" w:name="ref-a806d14f-e35b-4af5-91c3-b4d3441ff72b"/>
      <w:pPr>
        <w:pStyle w:val="ListNumber"/>
        <w:numPr>
          <w:ilvl w:val="0"/>
          <w:numId w:val="13"/>
        </w:numPr>
        <w:spacing w:after="0" w:line="240" w:lineRule="auto"/>
      </w:pPr>
      <w:bookmarkEnd w:id="23"/>
      <w:r>
        <w:t xml:space="preserve">as a business expense before profit distributions. </w:t>
      </w:r>
      <w:r>
        <w:rPr>
          <w:color w:val="0000FF"/>
        </w:rPr>
        <w:t>I N T E L L E C T U A L P R O P E R T Y Sanoj built all of SHEP's technology before this LLC was formed. The IP Assignment Agreement transfers that IP to the Company so the LLC owns it cleanly. William assigns to the Company any SHEP-related work he creates. He agrees not to use any third- party or employer resources in doing so. S H E P sheplegal.com Sanoj Allen · Founder · sanoj@sheplegal.com · (678) 939-4428 Page 3 If the Company dissolves (SHEP LLC Deal Memo v2.pdf, Page 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jc w:val="left"/>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360" w:lineRule="auto"/>
      <w:outlineLvl w:val="0"/>
    </w:pPr>
    <w:rPr>
      <w:rFonts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rFonts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rFonts w:ascii="Times New Roman" w:hAnsi="Times New Roman"/>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rFonts w:ascii="Times New Roman" w:hAnsi="Times New Roman"/>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rPr>
      <w:rFonts w:ascii="Times New Roman" w:hAnsi="Times New Roman"/>
      <w:color w:val="000000"/>
    </w:r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rFonts w:ascii="Times New Roman" w:hAnsi="Times New Roman"/>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rFonts w:ascii="Times New Roman" w:hAnsi="Times New Roman"/>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rFonts w:ascii="Times New Roman" w:hAnsi="Times New Roman"/>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rFonts w:ascii="Times New Roman" w:hAnsi="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rFonts w:ascii="Times New Roman" w:hAnsi="Times New Roman"/>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rFonts w:ascii="Times New Roman" w:hAnsi="Times New Roman"/>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rPr>
  </w:style>
  <w:style w:type="paragraph" w:styleId="BodyText">
    <w:name w:val="Body Text"/>
    <w:basedOn w:val="Normal"/>
    <w:link w:val="BodyTextChar"/>
    <w:uiPriority w:val="99"/>
    <w:unhideWhenUsed/>
    <w:rsid w:val="00AA1D8D"/>
    <w:pPr>
      <w:spacing w:after="120" w:line="240" w:lineRule="auto"/>
      <w:jc w:val="left"/>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jc w:val="left"/>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jc w:val="left"/>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rPr>
  </w:style>
  <w:style w:type="paragraph" w:styleId="List2">
    <w:name w:val="List 2"/>
    <w:basedOn w:val="Normal"/>
    <w:uiPriority w:val="99"/>
    <w:unhideWhenUsed/>
    <w:rsid w:val="00326F90"/>
    <w:pPr>
      <w:ind w:left="720" w:hanging="360"/>
      <w:contextualSpacing/>
    </w:pPr>
    <w:rPr>
      <w:rFonts w:ascii="Times New Roman" w:hAnsi="Times New Roman"/>
      <w:color w:val="000000"/>
    </w:rPr>
  </w:style>
  <w:style w:type="paragraph" w:styleId="List3">
    <w:name w:val="List 3"/>
    <w:basedOn w:val="Normal"/>
    <w:uiPriority w:val="99"/>
    <w:unhideWhenUsed/>
    <w:rsid w:val="00326F90"/>
    <w:pPr>
      <w:ind w:left="1080" w:hanging="360"/>
      <w:contextualSpacing/>
    </w:pPr>
    <w:rPr>
      <w:rFonts w:ascii="Times New Roman" w:hAnsi="Times New Roman"/>
      <w:color w:val="000000"/>
    </w:rPr>
  </w:style>
  <w:style w:type="paragraph" w:styleId="ListBullet">
    <w:name w:val="List Bullet"/>
    <w:basedOn w:val="Normal"/>
    <w:uiPriority w:val="99"/>
    <w:unhideWhenUsed/>
    <w:rsid w:val="00326F90"/>
    <w:pPr>
      <w:numPr>
        <w:numId w:val="1"/>
      </w:numPr>
      <w:contextualSpacing/>
    </w:pPr>
    <w:rPr>
      <w:rFonts w:ascii="Times New Roman" w:hAnsi="Times New Roman"/>
      <w:color w:val="000000"/>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rPr>
  </w:style>
  <w:style w:type="paragraph" w:styleId="ListNumber">
    <w:name w:val="List Number"/>
    <w:basedOn w:val="Normal"/>
    <w:uiPriority w:val="99"/>
    <w:unhideWhenUsed/>
    <w:rsid w:val="00326F90"/>
    <w:pPr>
      <w:numPr>
        <w:numId w:val="5"/>
      </w:numPr>
      <w:contextualSpacing/>
    </w:pPr>
    <w:rPr>
      <w:rFonts w:ascii="Times New Roman" w:hAnsi="Times New Roman"/>
      <w:color w:val="000000"/>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Times New Roman" w:hAnsi="Times New Roman"/>
      <w:i/>
      <w:iCs/>
      <w:color w:val="00000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Times New Roman" w:hAnsi="Times New Roman"/>
      <w:b/>
      <w:bCs/>
      <w:i/>
      <w:iCs/>
      <w:color w:val="000000"/>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sallen58@fordham.edu</dc:creator>
  <cp:keywords/>
  <dc:description/>
  <cp:lastModifiedBy/>
  <cp:revision>1</cp:revision>
  <dcterms:created xsi:type="dcterms:W3CDTF">2013-12-23T23:15:00Z</dcterms:created>
  <dcterms:modified xsi:type="dcterms:W3CDTF">2013-12-23T23:15:00Z</dcterms:modified>
  <cp:category/>
</cp:coreProperties>
</file>