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t>Reserve the 10% option pool. It costs you nothing today and provides meaningful flexibility later. Here's the reasoning.</w:t>
      </w:r>
      <w:r/>
    </w:p>
    <w:p>
      <w:pPr>
        <w:pStyle w:val="Heading2"/>
      </w:pPr>
      <w:r>
        <w:t>What the Option Pool Actually Is</w:t>
      </w:r>
      <w:r/>
    </w:p>
    <w:p>
      <w:pPr/>
      <w:r>
        <w:t xml:space="preserve">When Atlas sets aside 10% for an option pool, it is </w:t>
      </w:r>
      <w:r>
        <w:rPr>
          <w:b/>
        </w:rPr>
        <w:t>authorizing</w:t>
      </w:r>
      <w:r>
        <w:t xml:space="preserve"> shares but </w:t>
      </w:r>
      <w:r>
        <w:rPr>
          <w:b/>
        </w:rPr>
        <w:t>not issuing</w:t>
      </w:r>
      <w:r>
        <w:t xml:space="preserve"> them to anyone. Out of 10,000,000 authorized shares, 6,750,000 go to Sanoj, 2,250,000 go to Will, and 1,000,000 sit in a reserved pool controlled by the board — which is Sanoj as sole director.. Those 1,000,000 shares do not belong to anyone, do not dilute anyone until granted, and do not cost anything to create. They simply exist as authorized but unissued shares that the board can grant as stock options or restricted stock in the future under the equity incentive plan that Atlas will generate for you.</w:t>
      </w:r>
      <w:r/>
    </w:p>
    <w:p>
      <w:pPr>
        <w:pStyle w:val="Heading2"/>
      </w:pPr>
      <w:r>
        <w:t>Why It Matters</w:t>
      </w:r>
      <w:r/>
    </w:p>
    <w:p>
      <w:pPr/>
      <w:r>
        <w:rPr>
          <w:b/>
        </w:rPr>
        <w:t>Hiring and contracting.</w:t>
      </w:r>
      <w:r>
        <w:t xml:space="preserve"> If SHEP grows and you need to bring on a developer, a content creator, a marketing lead, or a part-time operations person, equity compensation is one of the most powerful tools an early-stage company has — especially one that is pre-revenue or low-revenue and cannot compete on cash salary. Without a pool already authorized, you would need to go through a board resolution to amend the certificate of incorporation to authorize additional shares before you could grant a single option. With the pool in place, Sanoj as sole director can approve a grant immediately..</w:t>
      </w:r>
      <w:r/>
    </w:p>
    <w:p>
      <w:pPr/>
      <w:r>
        <w:rPr>
          <w:b/>
        </w:rPr>
        <w:t>Investor expectations.</w:t>
      </w:r>
      <w:r>
        <w:t xml:space="preserve"> If SHEP ever raises outside capital — even a small angel round or a SAFE — investors will expect a pre-existing option pool. A standard seed-stage term sheet typically requires a 10–15% unallocated option pool as a condition of investment, and investors prefer that the dilution from the pool come out of the founders' pre-money ownership rather than being created post-investment. Having the pool already in place means you've absorbed that dilution upfront on your own terms rather than negotiating it under pressure during a financing round.</w:t>
      </w:r>
      <w:r/>
    </w:p>
    <w:p>
      <w:pPr/>
      <w:r>
        <w:rPr>
          <w:b/>
        </w:rPr>
        <w:t>Advisor grants.</w:t>
      </w:r>
      <w:r>
        <w:t xml:space="preserve"> Will's current role is essentially that of a strategic advisor.. If you bring on additional advisors down the road — legal, technical, industry-specific — standard advisor agreements typically include an equity component of 0.25%–1.0% vesting over 1–2 years. The option pool gives you the ability to compensate advisors without further corporate housekeeping.</w:t>
      </w:r>
      <w:r/>
    </w:p>
    <w:p>
      <w:pPr>
        <w:pStyle w:val="Heading2"/>
      </w:pPr>
      <w:r>
        <w:t>Why It Doesn't Hurt You</w:t>
      </w:r>
      <w:r/>
    </w:p>
    <w:p>
      <w:bookmarkStart w:id="2" w:name="cite-1e7e152b-7a28-46b8-af1f-03f3ce429000"/>
      <w:bookmarkStart w:id="1" w:name="cite-74607e84-ef6c-489e-a3ae-e782c9d1a64f"/>
      <w:bookmarkStart w:id="0" w:name="cite-74607e84-ef6c-489e-a3ae-e782c9d1a64f"/>
      <w:pPr/>
      <w:r>
        <w:t xml:space="preserve">The dilution is already baked into the share structure you described. Sanoj holds 67.5% on a fully diluted basis (not 75%), and Will holds 22.5% (not 25%), with the remaining 10% reserved. </w:t>
      </w:r>
      <w:bookmarkEnd w:id="0"/>
      <w:hyperlink w:anchor="ref-74607e84-ef6c-489e-a3ae-e782c9d1a64f">
        <w:r>
          <w:rPr>
            <w:color w:val="0000EE"/>
            <w:u w:val="single"/>
          </w:rPr>
          <w:t>[1]</w:t>
        </w:r>
      </w:hyperlink>
      <w:r>
        <w:t xml:space="preserve">. But this dilution is </w:t>
      </w:r>
      <w:r>
        <w:rPr>
          <w:b/>
        </w:rPr>
        <w:t>theoretical</w:t>
      </w:r>
      <w:r>
        <w:t xml:space="preserve"> until shares are actually granted. If you never grant a single option, Sanoj's economic ownership is 75% of issued shares and Will's is 25% — identical to the LLC deal. </w:t>
      </w:r>
      <w:bookmarkEnd w:id="1"/>
      <w:hyperlink w:anchor="ref-74607e84-ef6c-489e-a3ae-e782c9d1a64f">
        <w:r>
          <w:rPr>
            <w:color w:val="0000EE"/>
            <w:u w:val="single"/>
          </w:rPr>
          <w:t>[1]</w:t>
        </w:r>
      </w:hyperlink>
      <w:r>
        <w:t xml:space="preserve"> </w:t>
      </w:r>
      <w:bookmarkEnd w:id="2"/>
      <w:hyperlink w:anchor="ref-1e7e152b-7a28-46b8-af1f-03f3ce429000">
        <w:r>
          <w:rPr>
            <w:color w:val="0000EE"/>
            <w:u w:val="single"/>
          </w:rPr>
          <w:t>[2]</w:t>
        </w:r>
      </w:hyperlink>
      <w:r>
        <w:t>. The pool only dilutes when and to the extent Sanoj, as sole director, decides to use it.</w:t>
      </w:r>
      <w:r/>
    </w:p>
    <w:p>
      <w:pPr/>
      <w:r>
        <w:t>If you skip the pool and just split 75/25 across all 10,000,000 shares (7,500,000 to Sanoj, 2,500,000 to Will), and later need to grant equity, you would have to authorize new shares — which requires amending the certificate of incorporation, filing with the Delaware Secretary of State, and paying an additional filing fee. It's not prohibitively expensive, but it's unnecessary friction that you can avoid by checking a box today.</w:t>
      </w:r>
      <w:r/>
    </w:p>
    <w:p>
      <w:pPr/>
      <w:r>
        <w:rPr>
          <w:b/>
        </w:rPr>
        <w:t>Bottom line:</w:t>
      </w:r>
      <w:r>
        <w:t xml:space="preserve"> Take the pool. It preserves optionality, costs nothing, dilutes no one until used, and is controlled entirely by Sanoj as sole director. It is standard practice for exactly the reasons your situation illustrates — a two-founder company where future hiring, advisory, or fundraising needs are plausible but uncertain.</w:t>
      </w:r>
      <w:r/>
    </w:p>
    <w:p/>
    <w:p>
      <w:r>
        <w:br w:type="page"/>
      </w:r>
    </w:p>
    <w:p>
      <w:pPr>
        <w:pStyle w:val="Heading2"/>
      </w:pPr>
      <w:r>
        <w:t>References</w:t>
      </w:r>
    </w:p>
    <w:p>
      <w:bookmarkStart w:id="3" w:name="ref-74607e84-ef6c-489e-a3ae-e782c9d1a64f"/>
      <w:pPr>
        <w:pStyle w:val="ListNumber"/>
        <w:numPr>
          <w:ilvl w:val="0"/>
          <w:numId w:val="11"/>
        </w:numPr>
        <w:spacing w:after="0" w:line="240" w:lineRule="auto"/>
      </w:pPr>
      <w:bookmarkEnd w:id="3"/>
      <w:r>
        <w:t xml:space="preserve">new venture before it launches. O W N E R S H I P </w:t>
      </w:r>
      <w:r>
        <w:rPr>
          <w:color w:val="0000FF"/>
        </w:rPr>
        <w:t>Sanoj holds 75%. William holds 25%.</w:t>
      </w:r>
      <w:r>
        <w:t xml:space="preserve"> William's 25% becomes effective only after the LLC is formed and his $3,500 initial contribution has been fully completed and credited to the Company. Until then, Sanoj is the sole member. H O W T H E D E A L W O R K S Term What We're Doing Ownership Sanoj 75% / William 25%, effective after LLC formation and $3,500 initial contribution. William's Initial Contribution ($3,500) A one-time contribution of $3,500 covering NCBE content licensing, LLC (SHEP LLC Deal Memo v2.pdf)</w:t>
      </w:r>
    </w:p>
    <w:p>
      <w:bookmarkStart w:id="4" w:name="ref-1e7e152b-7a28-46b8-af1f-03f3ce429000"/>
      <w:pPr>
        <w:pStyle w:val="ListNumber"/>
        <w:numPr>
          <w:ilvl w:val="0"/>
          <w:numId w:val="11"/>
        </w:numPr>
        <w:spacing w:after="0" w:line="240" w:lineRule="auto"/>
      </w:pPr>
      <w:bookmarkEnd w:id="4"/>
      <w:r>
        <w:t xml:space="preserve">D E A L W O R K S Term What We're Doing Ownership </w:t>
      </w:r>
      <w:r>
        <w:rPr>
          <w:color w:val="0000FF"/>
        </w:rPr>
        <w:t>Sanoj 75% / William 25%, effective after LLC formation and $3,500 initial contribution.</w:t>
      </w:r>
      <w:r>
        <w:t xml:space="preserve"> William's Initial Contribution ($3,500) A one-time contribution of $3,500 covering NCBE content licensing, LLC formation costs, and other startup expenses… (SHEP LLC Deal Memo v2.pdf)</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jc w:val="left"/>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360" w:lineRule="auto"/>
      <w:outlineLvl w:val="0"/>
    </w:pPr>
    <w:rPr>
      <w:rFonts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rFonts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rFonts w:ascii="Times New Roman" w:hAnsi="Times New Roman"/>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rFonts w:ascii="Times New Roman" w:hAnsi="Times New Roman"/>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rPr>
      <w:rFonts w:ascii="Times New Roman" w:hAnsi="Times New Roman"/>
      <w:color w:val="000000"/>
    </w:r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rFonts w:ascii="Times New Roman" w:hAnsi="Times New Roman"/>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rFonts w:ascii="Times New Roman" w:hAnsi="Times New Roman"/>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rFonts w:ascii="Times New Roman" w:hAnsi="Times New Roman"/>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rFonts w:ascii="Times New Roman" w:hAnsi="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rFonts w:ascii="Times New Roman" w:hAnsi="Times New Roman"/>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rFonts w:ascii="Times New Roman" w:hAnsi="Times New Roman"/>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rPr>
  </w:style>
  <w:style w:type="paragraph" w:styleId="BodyText">
    <w:name w:val="Body Text"/>
    <w:basedOn w:val="Normal"/>
    <w:link w:val="BodyTextChar"/>
    <w:uiPriority w:val="99"/>
    <w:unhideWhenUsed/>
    <w:rsid w:val="00AA1D8D"/>
    <w:pPr>
      <w:spacing w:after="120" w:line="240" w:lineRule="auto"/>
      <w:jc w:val="left"/>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jc w:val="left"/>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jc w:val="left"/>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rPr>
  </w:style>
  <w:style w:type="paragraph" w:styleId="List2">
    <w:name w:val="List 2"/>
    <w:basedOn w:val="Normal"/>
    <w:uiPriority w:val="99"/>
    <w:unhideWhenUsed/>
    <w:rsid w:val="00326F90"/>
    <w:pPr>
      <w:ind w:left="720" w:hanging="360"/>
      <w:contextualSpacing/>
    </w:pPr>
    <w:rPr>
      <w:rFonts w:ascii="Times New Roman" w:hAnsi="Times New Roman"/>
      <w:color w:val="000000"/>
    </w:rPr>
  </w:style>
  <w:style w:type="paragraph" w:styleId="List3">
    <w:name w:val="List 3"/>
    <w:basedOn w:val="Normal"/>
    <w:uiPriority w:val="99"/>
    <w:unhideWhenUsed/>
    <w:rsid w:val="00326F90"/>
    <w:pPr>
      <w:ind w:left="1080" w:hanging="360"/>
      <w:contextualSpacing/>
    </w:pPr>
    <w:rPr>
      <w:rFonts w:ascii="Times New Roman" w:hAnsi="Times New Roman"/>
      <w:color w:val="000000"/>
    </w:rPr>
  </w:style>
  <w:style w:type="paragraph" w:styleId="ListBullet">
    <w:name w:val="List Bullet"/>
    <w:basedOn w:val="Normal"/>
    <w:uiPriority w:val="99"/>
    <w:unhideWhenUsed/>
    <w:rsid w:val="00326F90"/>
    <w:pPr>
      <w:numPr>
        <w:numId w:val="1"/>
      </w:numPr>
      <w:contextualSpacing/>
    </w:pPr>
    <w:rPr>
      <w:rFonts w:ascii="Times New Roman" w:hAnsi="Times New Roman"/>
      <w:color w:val="000000"/>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rPr>
  </w:style>
  <w:style w:type="paragraph" w:styleId="ListNumber">
    <w:name w:val="List Number"/>
    <w:basedOn w:val="Normal"/>
    <w:uiPriority w:val="99"/>
    <w:unhideWhenUsed/>
    <w:rsid w:val="00326F90"/>
    <w:pPr>
      <w:numPr>
        <w:numId w:val="5"/>
      </w:numPr>
      <w:contextualSpacing/>
    </w:pPr>
    <w:rPr>
      <w:rFonts w:ascii="Times New Roman" w:hAnsi="Times New Roman"/>
      <w:color w:val="000000"/>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Times New Roman" w:hAnsi="Times New Roman"/>
      <w:i/>
      <w:iCs/>
      <w:color w:val="00000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Times New Roman" w:hAnsi="Times New Roman"/>
      <w:b/>
      <w:bCs/>
      <w:i/>
      <w:iCs/>
      <w:color w:val="000000"/>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sallen58@fordham.edu</dc:creator>
  <cp:keywords/>
  <dc:description/>
  <cp:lastModifiedBy/>
  <cp:revision>1</cp:revision>
  <dcterms:created xsi:type="dcterms:W3CDTF">2013-12-23T23:15:00Z</dcterms:created>
  <dcterms:modified xsi:type="dcterms:W3CDTF">2013-12-23T23:15:00Z</dcterms:modified>
  <cp:category/>
</cp:coreProperties>
</file>