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Document Suite to Implement the Delaware C‑Corporation Structure for SHEP</w:t>
      </w:r>
      <w:r/>
    </w:p>
    <w:p>
      <w:pPr/>
      <w:r>
        <w:t>This report lists, organizes, and explains the document set you will need to implement the Delaware C‑corporation path, carry forward the key economic and protective terms from your existing agreements, and be ready to transact by May 15, 2026. The core conclusion is straightforward: you should prepare a compact set of formation, governance, issuance, IP, and state-qualification documents, plus a short mutual termination agreement to retire the signed but inapplicable LLC agreements, and a simple board resolution to characterize Will’s ~$550/month as nonrefundable capital contributions that do not alter ownership. This document list maps cleanly from your executed Operating Agreement and Deal Memo terms, including the 75/25 split, Will’s $3,500 initial funding, confidentiality and work‑product assignments, drag/tag, ROFR, and the “Disengagement Event” concept you used in lieu of vesting, which you can preserve in a corporate-friendly way if you choose to avoid a traditional vesting schedule.</w:t>
      </w:r>
      <w:r/>
    </w:p>
    <w:p>
      <w:pPr>
        <w:pStyle w:val="Heading2"/>
      </w:pPr>
      <w:r>
        <w:t>Scope and organizing principles</w:t>
      </w:r>
      <w:r/>
    </w:p>
    <w:p>
      <w:pPr/>
      <w:r>
        <w:t>The document suite is grouped into seven categories: core Delaware formation, governance, capitalization and issuances, IP and confidentiality, legacy clean‑up, state qualification and finance operations, and optional/deferred instruments. Each document either replaces a specific LLC‑era concept or fills a standard C‑corp need so that your economics, protections, and IP chain‑of‑title carry over intact. Where your Operating Agreement contained bespoke protections such as right of first refusal, drag‑along/tag‑along, and a “Disengagement Event” buy‑sell, the corporate analogs are identified so you can replicate them without introducing vesting if Will is unwilling to accept it now.</w:t>
      </w:r>
      <w:r/>
    </w:p>
    <w:p>
      <w:pPr>
        <w:pStyle w:val="Heading2"/>
      </w:pPr>
      <w:r>
        <w:t>Carrying forward the existing deal terms</w:t>
      </w:r>
      <w:r/>
    </w:p>
    <w:p>
      <w:pPr/>
      <w:r>
        <w:t>Your signed documents fix several baseline terms that the new suite must reflect. The ownership split at completion of Will’s $3,500 initial contribution is 75% for Sanoj and 25% for Will, with no mandatory additional capital contributions absent a written amendment signed by both; those economics and the limited reserved matters must carry through to the corporate structure. The Operating Agreement also embeds confidentiality commitments, assignment of “Founder IP” to the company via a separate written IP assignment compliant with 17 U.S.C. §204(a), a non‑use of employer resources covenant for Will, ROFR, drag/tag, a defined “Disengagement Event,” a fair‑market‑value buy‑sell mechanic with installment terms, and reversion of Founder IP to Sanoj on a non‑sale dissolution. Each of these has a standard C‑corp analog identified in the table below. The Deal Memo further memorializes that Will’s monthly support of approximately $500 for operating costs is not a condition of ownership, which should be preserved explicitly in board minutes so that these amounts are treated as nonrefundable capital contributions that do not affect cap table percentages.</w:t>
      </w:r>
      <w:r/>
    </w:p>
    <w:p>
      <w:pPr>
        <w:pStyle w:val="Heading2"/>
      </w:pPr>
      <w:r>
        <w:t>Vesting avoidance and the “Disengagement Event” pathway</w:t>
      </w:r>
      <w:r/>
    </w:p>
    <w:p>
      <w:pPr/>
      <w:r>
        <w:t>Because you prefer to avoid a traditional vesting schedule at this stage, the near‑equivalent corporate mechanism is a founders’ stock purchase agreement with no time‑based vesting but with a company repurchase right triggered by the same “Disengagement Event” you have already defined: a material cessation of participation for sixty days after notice and a cure period, with repurchase at a defined price. You can preserve your existing disengagement test and price at fair market value, matching the Operating Agreement’s buy‑sell framework, or tighten the price to par value solely for unearned portions if you later negotiate a hybrid. This approach reduces complexity for Will while still protecting the company if a founder stops contributing. It also aligns with your existing buy‑sell and disengagement provisions, minimizing behavioral change from the LLC paper to the C‑corp paper.</w:t>
      </w:r>
      <w:r/>
    </w:p>
    <w:p>
      <w:pPr>
        <w:pStyle w:val="Heading2"/>
      </w:pPr>
      <w:r>
        <w:t>Table 1: Documents to draft for the Delaware C‑corp implementation</w:t>
      </w:r>
      <w:r/>
    </w:p>
    <w:tbl>
      <w:tblPr>
        <w:tblW w:type="auto" w:w="0"/>
        <w:tblLook w:firstColumn="1" w:firstRow="1" w:lastColumn="0" w:lastRow="0" w:noHBand="0" w:noVBand="1" w:val="04A0"/>
      </w:tblPr>
      <w:tblGrid>
        <w:gridCol w:w="1872"/>
        <w:gridCol w:w="1872"/>
        <w:gridCol w:w="1872"/>
        <w:gridCol w:w="1872"/>
        <w:gridCol w:w="1872"/>
      </w:tblGrid>
      <w:tr>
        <w:tc>
          <w:tcPr>
            <w:tcW w:type="dxa" w:w="1872"/>
            <w:shd w:fill="D3D3D3"/>
            <w:tcBorders>
              <w:top w:val="single" w:sz="12.0" w:color="000000"/>
              <w:right w:val="single" w:sz="12.0" w:color="000000"/>
              <w:bottom w:val="single" w:sz="12.0" w:color="000000"/>
              <w:left w:val="single" w:sz="12.0" w:color="000000"/>
            </w:tcBorders>
          </w:tcPr>
          <w:p>
            <w:r>
              <w:rPr>
                <w:b/>
              </w:rPr>
              <w:t>Document</w:t>
            </w:r>
          </w:p>
        </w:tc>
        <w:tc>
          <w:tcPr>
            <w:tcW w:type="dxa" w:w="1872"/>
            <w:shd w:fill="D3D3D3"/>
            <w:tcBorders>
              <w:top w:val="single" w:sz="12.0" w:color="000000"/>
              <w:right w:val="single" w:sz="12.0" w:color="000000"/>
              <w:bottom w:val="single" w:sz="12.0" w:color="000000"/>
              <w:left w:val="single" w:sz="12.0" w:color="000000"/>
            </w:tcBorders>
          </w:tcPr>
          <w:p>
            <w:r>
              <w:rPr>
                <w:b/>
              </w:rPr>
              <w:t>Purpose and key terms to capture</w:t>
            </w:r>
          </w:p>
        </w:tc>
        <w:tc>
          <w:tcPr>
            <w:tcW w:type="dxa" w:w="1872"/>
            <w:shd w:fill="D3D3D3"/>
            <w:tcBorders>
              <w:top w:val="single" w:sz="12.0" w:color="000000"/>
              <w:right w:val="single" w:sz="12.0" w:color="000000"/>
              <w:bottom w:val="single" w:sz="12.0" w:color="000000"/>
              <w:left w:val="single" w:sz="12.0" w:color="000000"/>
            </w:tcBorders>
          </w:tcPr>
          <w:p>
            <w:r>
              <w:rPr>
                <w:b/>
              </w:rPr>
              <w:t>Who signs/approves</w:t>
            </w:r>
          </w:p>
        </w:tc>
        <w:tc>
          <w:tcPr>
            <w:tcW w:type="dxa" w:w="1872"/>
            <w:shd w:fill="D3D3D3"/>
            <w:tcBorders>
              <w:top w:val="single" w:sz="12.0" w:color="000000"/>
              <w:right w:val="single" w:sz="12.0" w:color="000000"/>
              <w:bottom w:val="single" w:sz="12.0" w:color="000000"/>
              <w:left w:val="single" w:sz="12.0" w:color="000000"/>
            </w:tcBorders>
          </w:tcPr>
          <w:p>
            <w:r>
              <w:rPr>
                <w:b/>
              </w:rPr>
              <w:t>Timing</w:t>
            </w:r>
          </w:p>
        </w:tc>
        <w:tc>
          <w:tcPr>
            <w:tcW w:type="dxa" w:w="1872"/>
            <w:shd w:fill="D3D3D3"/>
            <w:tcBorders>
              <w:top w:val="single" w:sz="12.0" w:color="000000"/>
              <w:right w:val="single" w:sz="12.0" w:color="000000"/>
              <w:bottom w:val="single" w:sz="12.0" w:color="000000"/>
              <w:left w:val="single" w:sz="12.0" w:color="000000"/>
            </w:tcBorders>
          </w:tcPr>
          <w:p>
            <w:r>
              <w:rPr>
                <w:b/>
              </w:rPr>
              <w:t>Replaces or maps from LLC terms</w:t>
            </w:r>
          </w:p>
        </w:tc>
      </w:tr>
      <w:tr>
        <w:tc>
          <w:tcPr>
            <w:tcW w:type="dxa" w:w="1872"/>
            <w:tcBorders>
              <w:top w:val="single" w:sz="12.0" w:color="000000"/>
              <w:right w:val="single" w:sz="12.0" w:color="000000"/>
              <w:bottom w:val="single" w:sz="12.0" w:color="000000"/>
              <w:left w:val="single" w:sz="12.0" w:color="000000"/>
            </w:tcBorders>
          </w:tcPr>
          <w:p>
            <w:pPr>
              <w:jc w:val="center"/>
            </w:pPr>
            <w:r>
              <w:t>Certificate of Incorporation (Delaware)</w:t>
            </w:r>
          </w:p>
        </w:tc>
        <w:tc>
          <w:tcPr>
            <w:tcW w:type="dxa" w:w="1872"/>
            <w:tcBorders>
              <w:top w:val="single" w:sz="12.0" w:color="000000"/>
              <w:right w:val="single" w:sz="12.0" w:color="000000"/>
              <w:bottom w:val="single" w:sz="12.0" w:color="000000"/>
              <w:left w:val="single" w:sz="12.0" w:color="000000"/>
            </w:tcBorders>
          </w:tcPr>
          <w:p>
            <w:pPr>
              <w:jc w:val="center"/>
            </w:pPr>
            <w:r>
              <w:t>Formally creates the corporation; authorizes common stock; can include high‑level protective provisions; aligns share authorization with planned 75/25 issuance and any future option pool</w:t>
            </w:r>
          </w:p>
        </w:tc>
        <w:tc>
          <w:tcPr>
            <w:tcW w:type="dxa" w:w="1872"/>
            <w:tcBorders>
              <w:top w:val="single" w:sz="12.0" w:color="000000"/>
              <w:right w:val="single" w:sz="12.0" w:color="000000"/>
              <w:bottom w:val="single" w:sz="12.0" w:color="000000"/>
              <w:left w:val="single" w:sz="12.0" w:color="000000"/>
            </w:tcBorders>
          </w:tcPr>
          <w:p>
            <w:pPr>
              <w:jc w:val="center"/>
            </w:pPr>
            <w:r>
              <w:t>Filed by incorporator; approved by board</w:t>
            </w:r>
          </w:p>
        </w:tc>
        <w:tc>
          <w:tcPr>
            <w:tcW w:type="dxa" w:w="1872"/>
            <w:tcBorders>
              <w:top w:val="single" w:sz="12.0" w:color="000000"/>
              <w:right w:val="single" w:sz="12.0" w:color="000000"/>
              <w:bottom w:val="single" w:sz="12.0" w:color="000000"/>
              <w:left w:val="single" w:sz="12.0" w:color="000000"/>
            </w:tcBorders>
          </w:tcPr>
          <w:p>
            <w:pPr>
              <w:jc w:val="center"/>
            </w:pPr>
            <w:r>
              <w:t>Day 1</w:t>
            </w:r>
          </w:p>
        </w:tc>
        <w:tc>
          <w:tcPr>
            <w:tcW w:type="dxa" w:w="1872"/>
            <w:tcBorders>
              <w:top w:val="single" w:sz="12.0" w:color="000000"/>
              <w:right w:val="single" w:sz="12.0" w:color="000000"/>
              <w:bottom w:val="single" w:sz="12.0" w:color="000000"/>
              <w:left w:val="single" w:sz="12.0" w:color="000000"/>
            </w:tcBorders>
          </w:tcPr>
          <w:p>
            <w:pPr>
              <w:jc w:val="center"/>
            </w:pPr>
            <w:r>
              <w:t>Replaces the unfiled LLC formation; sets the capital structure consistent with 75/25 economics</w:t>
            </w:r>
          </w:p>
        </w:tc>
      </w:tr>
      <w:tr>
        <w:tc>
          <w:tcPr>
            <w:tcW w:type="dxa" w:w="1872"/>
            <w:tcBorders>
              <w:top w:val="single" w:sz="12.0" w:color="000000"/>
              <w:right w:val="single" w:sz="12.0" w:color="000000"/>
              <w:bottom w:val="single" w:sz="12.0" w:color="000000"/>
              <w:left w:val="single" w:sz="12.0" w:color="000000"/>
            </w:tcBorders>
          </w:tcPr>
          <w:p>
            <w:pPr>
              <w:jc w:val="center"/>
            </w:pPr>
            <w:r>
              <w:t>Action by Sole Incorporator</w:t>
            </w:r>
          </w:p>
        </w:tc>
        <w:tc>
          <w:tcPr>
            <w:tcW w:type="dxa" w:w="1872"/>
            <w:tcBorders>
              <w:top w:val="single" w:sz="12.0" w:color="000000"/>
              <w:right w:val="single" w:sz="12.0" w:color="000000"/>
              <w:bottom w:val="single" w:sz="12.0" w:color="000000"/>
              <w:left w:val="single" w:sz="12.0" w:color="000000"/>
            </w:tcBorders>
          </w:tcPr>
          <w:p>
            <w:pPr>
              <w:jc w:val="center"/>
            </w:pPr>
            <w:r>
              <w:t>Appoints initial board; transfers authority from incorporator to directors</w:t>
            </w:r>
          </w:p>
        </w:tc>
        <w:tc>
          <w:tcPr>
            <w:tcW w:type="dxa" w:w="1872"/>
            <w:tcBorders>
              <w:top w:val="single" w:sz="12.0" w:color="000000"/>
              <w:right w:val="single" w:sz="12.0" w:color="000000"/>
              <w:bottom w:val="single" w:sz="12.0" w:color="000000"/>
              <w:left w:val="single" w:sz="12.0" w:color="000000"/>
            </w:tcBorders>
          </w:tcPr>
          <w:p>
            <w:pPr>
              <w:jc w:val="center"/>
            </w:pPr>
            <w:r>
              <w:t>Sole incorporator</w:t>
            </w:r>
          </w:p>
        </w:tc>
        <w:tc>
          <w:tcPr>
            <w:tcW w:type="dxa" w:w="1872"/>
            <w:tcBorders>
              <w:top w:val="single" w:sz="12.0" w:color="000000"/>
              <w:right w:val="single" w:sz="12.0" w:color="000000"/>
              <w:bottom w:val="single" w:sz="12.0" w:color="000000"/>
              <w:left w:val="single" w:sz="12.0" w:color="000000"/>
            </w:tcBorders>
          </w:tcPr>
          <w:p>
            <w:pPr>
              <w:jc w:val="center"/>
            </w:pPr>
            <w:r>
              <w:t>Day 1</w:t>
            </w:r>
          </w:p>
        </w:tc>
        <w:tc>
          <w:tcPr>
            <w:tcW w:type="dxa" w:w="1872"/>
            <w:tcBorders>
              <w:top w:val="single" w:sz="12.0" w:color="000000"/>
              <w:right w:val="single" w:sz="12.0" w:color="000000"/>
              <w:bottom w:val="single" w:sz="12.0" w:color="000000"/>
              <w:left w:val="single" w:sz="12.0" w:color="000000"/>
            </w:tcBorders>
          </w:tcPr>
          <w:p>
            <w:pPr>
              <w:jc w:val="center"/>
            </w:pPr>
            <w:r>
              <w:t>N/A; enables initial board consent to implement deal terms reflected in Operating Agreement and Deal Memo</w:t>
            </w:r>
          </w:p>
        </w:tc>
      </w:tr>
      <w:tr>
        <w:tc>
          <w:tcPr>
            <w:tcW w:type="dxa" w:w="1872"/>
            <w:tcBorders>
              <w:top w:val="single" w:sz="12.0" w:color="000000"/>
              <w:right w:val="single" w:sz="12.0" w:color="000000"/>
              <w:bottom w:val="single" w:sz="12.0" w:color="000000"/>
              <w:left w:val="single" w:sz="12.0" w:color="000000"/>
            </w:tcBorders>
          </w:tcPr>
          <w:p>
            <w:pPr>
              <w:jc w:val="center"/>
            </w:pPr>
            <w:r>
              <w:t>Bylaws</w:t>
            </w:r>
          </w:p>
        </w:tc>
        <w:tc>
          <w:tcPr>
            <w:tcW w:type="dxa" w:w="1872"/>
            <w:tcBorders>
              <w:top w:val="single" w:sz="12.0" w:color="000000"/>
              <w:right w:val="single" w:sz="12.0" w:color="000000"/>
              <w:bottom w:val="single" w:sz="12.0" w:color="000000"/>
              <w:left w:val="single" w:sz="12.0" w:color="000000"/>
            </w:tcBorders>
          </w:tcPr>
          <w:p>
            <w:pPr>
              <w:jc w:val="center"/>
            </w:pPr>
            <w:r>
              <w:t>Internal governance: meetings, board/officer roles, indemnification; mirrors “manager‑managed” centralization by making Sanoj sole initial director/officer</w:t>
            </w:r>
          </w:p>
        </w:tc>
        <w:tc>
          <w:tcPr>
            <w:tcW w:type="dxa" w:w="1872"/>
            <w:tcBorders>
              <w:top w:val="single" w:sz="12.0" w:color="000000"/>
              <w:right w:val="single" w:sz="12.0" w:color="000000"/>
              <w:bottom w:val="single" w:sz="12.0" w:color="000000"/>
              <w:left w:val="single" w:sz="12.0" w:color="000000"/>
            </w:tcBorders>
          </w:tcPr>
          <w:p>
            <w:pPr>
              <w:jc w:val="center"/>
            </w:pPr>
            <w:r>
              <w:t>Board adopts</w:t>
            </w:r>
          </w:p>
        </w:tc>
        <w:tc>
          <w:tcPr>
            <w:tcW w:type="dxa" w:w="1872"/>
            <w:tcBorders>
              <w:top w:val="single" w:sz="12.0" w:color="000000"/>
              <w:right w:val="single" w:sz="12.0" w:color="000000"/>
              <w:bottom w:val="single" w:sz="12.0" w:color="000000"/>
              <w:left w:val="single" w:sz="12.0" w:color="000000"/>
            </w:tcBorders>
          </w:tcPr>
          <w:p>
            <w:pPr>
              <w:jc w:val="center"/>
            </w:pPr>
            <w:r>
              <w:t>Day 1–2</w:t>
            </w:r>
          </w:p>
        </w:tc>
        <w:tc>
          <w:tcPr>
            <w:tcW w:type="dxa" w:w="1872"/>
            <w:tcBorders>
              <w:top w:val="single" w:sz="12.0" w:color="000000"/>
              <w:right w:val="single" w:sz="12.0" w:color="000000"/>
              <w:bottom w:val="single" w:sz="12.0" w:color="000000"/>
              <w:left w:val="single" w:sz="12.0" w:color="000000"/>
            </w:tcBorders>
          </w:tcPr>
          <w:p>
            <w:pPr>
              <w:jc w:val="center"/>
            </w:pPr>
            <w:r>
              <w:t>Replaces manager‑managed governance with corporate analog; preserves Sanoj’s sole‑manager role as sole director/officer initially</w:t>
            </w:r>
          </w:p>
        </w:tc>
      </w:tr>
      <w:tr>
        <w:tc>
          <w:tcPr>
            <w:tcW w:type="dxa" w:w="1872"/>
            <w:tcBorders>
              <w:top w:val="single" w:sz="12.0" w:color="000000"/>
              <w:right w:val="single" w:sz="12.0" w:color="000000"/>
              <w:bottom w:val="single" w:sz="12.0" w:color="000000"/>
              <w:left w:val="single" w:sz="12.0" w:color="000000"/>
            </w:tcBorders>
          </w:tcPr>
          <w:p>
            <w:pPr>
              <w:jc w:val="center"/>
            </w:pPr>
            <w:r>
              <w:t>Initial Written Consent of the Board</w:t>
            </w:r>
          </w:p>
        </w:tc>
        <w:tc>
          <w:tcPr>
            <w:tcW w:type="dxa" w:w="1872"/>
            <w:tcBorders>
              <w:top w:val="single" w:sz="12.0" w:color="000000"/>
              <w:right w:val="single" w:sz="12.0" w:color="000000"/>
              <w:bottom w:val="single" w:sz="12.0" w:color="000000"/>
              <w:left w:val="single" w:sz="12.0" w:color="000000"/>
            </w:tcBorders>
          </w:tcPr>
          <w:p>
            <w:pPr>
              <w:jc w:val="center"/>
            </w:pPr>
            <w:r>
              <w:t>Adopts bylaws; sets fiscal year; authorizes bank account; authorizes share issuances to founders at agreed prices; approves IP assignment; characterizes Will’s monthly support as nonrefundable capital contributions that do not affect percentages</w:t>
            </w:r>
          </w:p>
        </w:tc>
        <w:tc>
          <w:tcPr>
            <w:tcW w:type="dxa" w:w="1872"/>
            <w:tcBorders>
              <w:top w:val="single" w:sz="12.0" w:color="000000"/>
              <w:right w:val="single" w:sz="12.0" w:color="000000"/>
              <w:bottom w:val="single" w:sz="12.0" w:color="000000"/>
              <w:left w:val="single" w:sz="12.0" w:color="000000"/>
            </w:tcBorders>
          </w:tcPr>
          <w:p>
            <w:pPr>
              <w:jc w:val="center"/>
            </w:pPr>
            <w:r>
              <w:t>Board (initially Sanoj as sole director)</w:t>
            </w:r>
          </w:p>
        </w:tc>
        <w:tc>
          <w:tcPr>
            <w:tcW w:type="dxa" w:w="1872"/>
            <w:tcBorders>
              <w:top w:val="single" w:sz="12.0" w:color="000000"/>
              <w:right w:val="single" w:sz="12.0" w:color="000000"/>
              <w:bottom w:val="single" w:sz="12.0" w:color="000000"/>
              <w:left w:val="single" w:sz="12.0" w:color="000000"/>
            </w:tcBorders>
          </w:tcPr>
          <w:p>
            <w:pPr>
              <w:jc w:val="center"/>
            </w:pPr>
            <w:r>
              <w:t>Day 1–3</w:t>
            </w:r>
          </w:p>
        </w:tc>
        <w:tc>
          <w:tcPr>
            <w:tcW w:type="dxa" w:w="1872"/>
            <w:tcBorders>
              <w:top w:val="single" w:sz="12.0" w:color="000000"/>
              <w:right w:val="single" w:sz="12.0" w:color="000000"/>
              <w:bottom w:val="single" w:sz="12.0" w:color="000000"/>
              <w:left w:val="single" w:sz="12.0" w:color="000000"/>
            </w:tcBorders>
          </w:tcPr>
          <w:p>
            <w:pPr>
              <w:jc w:val="center"/>
            </w:pPr>
            <w:r>
              <w:t>Implements ownership and contribution mechanics: 75/25 split and $3,500 initial funding; monthly support not a condition of ownership</w:t>
            </w:r>
          </w:p>
        </w:tc>
      </w:tr>
      <w:tr>
        <w:tc>
          <w:tcPr>
            <w:tcW w:type="dxa" w:w="1872"/>
            <w:tcBorders>
              <w:top w:val="single" w:sz="12.0" w:color="000000"/>
              <w:right w:val="single" w:sz="12.0" w:color="000000"/>
              <w:bottom w:val="single" w:sz="12.0" w:color="000000"/>
              <w:left w:val="single" w:sz="12.0" w:color="000000"/>
            </w:tcBorders>
          </w:tcPr>
          <w:p>
            <w:pPr>
              <w:jc w:val="center"/>
            </w:pPr>
            <w:r>
              <w:t>Founders’ Stock Purchase Agreements (two) — “no‑vesting, disengagement repurchase” version</w:t>
            </w:r>
          </w:p>
        </w:tc>
        <w:tc>
          <w:tcPr>
            <w:tcW w:type="dxa" w:w="1872"/>
            <w:tcBorders>
              <w:top w:val="single" w:sz="12.0" w:color="000000"/>
              <w:right w:val="single" w:sz="12.0" w:color="000000"/>
              <w:bottom w:val="single" w:sz="12.0" w:color="000000"/>
              <w:left w:val="single" w:sz="12.0" w:color="000000"/>
            </w:tcBorders>
          </w:tcPr>
          <w:p>
            <w:pPr>
              <w:jc w:val="center"/>
            </w:pPr>
            <w:r>
              <w:t>Each founder purchases common stock; includes transfer restrictions, ROFR/co‑sale; adds company repurchase right upon the Operating Agreement’s “Disengagement Event” with repurchase price pegged to your current FMV/installment framework to mirror the LLC paper</w:t>
            </w:r>
          </w:p>
        </w:tc>
        <w:tc>
          <w:tcPr>
            <w:tcW w:type="dxa" w:w="1872"/>
            <w:tcBorders>
              <w:top w:val="single" w:sz="12.0" w:color="000000"/>
              <w:right w:val="single" w:sz="12.0" w:color="000000"/>
              <w:bottom w:val="single" w:sz="12.0" w:color="000000"/>
              <w:left w:val="single" w:sz="12.0" w:color="000000"/>
            </w:tcBorders>
          </w:tcPr>
          <w:p>
            <w:pPr>
              <w:jc w:val="center"/>
            </w:pPr>
            <w:r>
              <w:t>Sanoj and Will; company countersigns</w:t>
            </w:r>
          </w:p>
        </w:tc>
        <w:tc>
          <w:tcPr>
            <w:tcW w:type="dxa" w:w="1872"/>
            <w:tcBorders>
              <w:top w:val="single" w:sz="12.0" w:color="000000"/>
              <w:right w:val="single" w:sz="12.0" w:color="000000"/>
              <w:bottom w:val="single" w:sz="12.0" w:color="000000"/>
              <w:left w:val="single" w:sz="12.0" w:color="000000"/>
            </w:tcBorders>
          </w:tcPr>
          <w:p>
            <w:pPr>
              <w:jc w:val="center"/>
            </w:pPr>
            <w:r>
              <w:t>Day 2–5</w:t>
            </w:r>
          </w:p>
        </w:tc>
        <w:tc>
          <w:tcPr>
            <w:tcW w:type="dxa" w:w="1872"/>
            <w:tcBorders>
              <w:top w:val="single" w:sz="12.0" w:color="000000"/>
              <w:right w:val="single" w:sz="12.0" w:color="000000"/>
              <w:bottom w:val="single" w:sz="12.0" w:color="000000"/>
              <w:left w:val="single" w:sz="12.0" w:color="000000"/>
            </w:tcBorders>
          </w:tcPr>
          <w:p>
            <w:pPr>
              <w:jc w:val="center"/>
            </w:pPr>
            <w:r>
              <w:t>Corporate analog to your buy‑sell and disengagement regime; provides ROFR/tag to mirror OA protections</w:t>
            </w:r>
          </w:p>
        </w:tc>
      </w:tr>
      <w:tr>
        <w:tc>
          <w:tcPr>
            <w:tcW w:type="dxa" w:w="1872"/>
            <w:tcBorders>
              <w:top w:val="single" w:sz="12.0" w:color="000000"/>
              <w:right w:val="single" w:sz="12.0" w:color="000000"/>
              <w:bottom w:val="single" w:sz="12.0" w:color="000000"/>
              <w:left w:val="single" w:sz="12.0" w:color="000000"/>
            </w:tcBorders>
          </w:tcPr>
          <w:p>
            <w:pPr>
              <w:jc w:val="center"/>
            </w:pPr>
            <w:r>
              <w:t>Alternative founders’ Restricted Stock Purchase Agreements — standard vesting version (optional)</w:t>
            </w:r>
          </w:p>
        </w:tc>
        <w:tc>
          <w:tcPr>
            <w:tcW w:type="dxa" w:w="1872"/>
            <w:tcBorders>
              <w:top w:val="single" w:sz="12.0" w:color="000000"/>
              <w:right w:val="single" w:sz="12.0" w:color="000000"/>
              <w:bottom w:val="single" w:sz="12.0" w:color="000000"/>
              <w:left w:val="single" w:sz="12.0" w:color="000000"/>
            </w:tcBorders>
          </w:tcPr>
          <w:p>
            <w:pPr>
              <w:jc w:val="center"/>
            </w:pPr>
            <w:r>
              <w:t>If you later decide to use vesting, switch to time‑based reverse vesting; otherwise keep the “disengagement repurchase” version above</w:t>
            </w:r>
          </w:p>
        </w:tc>
        <w:tc>
          <w:tcPr>
            <w:tcW w:type="dxa" w:w="1872"/>
            <w:tcBorders>
              <w:top w:val="single" w:sz="12.0" w:color="000000"/>
              <w:right w:val="single" w:sz="12.0" w:color="000000"/>
              <w:bottom w:val="single" w:sz="12.0" w:color="000000"/>
              <w:left w:val="single" w:sz="12.0" w:color="000000"/>
            </w:tcBorders>
          </w:tcPr>
          <w:p>
            <w:pPr>
              <w:jc w:val="center"/>
            </w:pPr>
            <w:r>
              <w:t>Sanoj and Will; company countersigns</w:t>
            </w:r>
          </w:p>
        </w:tc>
        <w:tc>
          <w:tcPr>
            <w:tcW w:type="dxa" w:w="1872"/>
            <w:tcBorders>
              <w:top w:val="single" w:sz="12.0" w:color="000000"/>
              <w:right w:val="single" w:sz="12.0" w:color="000000"/>
              <w:bottom w:val="single" w:sz="12.0" w:color="000000"/>
              <w:left w:val="single" w:sz="12.0" w:color="000000"/>
            </w:tcBorders>
          </w:tcPr>
          <w:p>
            <w:pPr>
              <w:jc w:val="center"/>
            </w:pPr>
            <w:r>
              <w:t>Optional</w:t>
            </w:r>
          </w:p>
        </w:tc>
        <w:tc>
          <w:tcPr>
            <w:tcW w:type="dxa" w:w="1872"/>
            <w:tcBorders>
              <w:top w:val="single" w:sz="12.0" w:color="000000"/>
              <w:right w:val="single" w:sz="12.0" w:color="000000"/>
              <w:bottom w:val="single" w:sz="12.0" w:color="000000"/>
              <w:left w:val="single" w:sz="12.0" w:color="000000"/>
            </w:tcBorders>
          </w:tcPr>
          <w:p>
            <w:pPr>
              <w:jc w:val="center"/>
            </w:pPr>
            <w:r>
              <w:t>Provides an investor‑standard path if vesting becomes acceptable later; not required now given your preference</w:t>
            </w:r>
          </w:p>
        </w:tc>
      </w:tr>
      <w:tr>
        <w:tc>
          <w:tcPr>
            <w:tcW w:type="dxa" w:w="1872"/>
            <w:tcBorders>
              <w:top w:val="single" w:sz="12.0" w:color="000000"/>
              <w:right w:val="single" w:sz="12.0" w:color="000000"/>
              <w:bottom w:val="single" w:sz="12.0" w:color="000000"/>
              <w:left w:val="single" w:sz="12.0" w:color="000000"/>
            </w:tcBorders>
          </w:tcPr>
          <w:p>
            <w:pPr>
              <w:jc w:val="center"/>
            </w:pPr>
            <w:r>
              <w:t>Mutual Termination and Release (LLC Operating Agreement and LLC IP Assignment)</w:t>
            </w:r>
          </w:p>
        </w:tc>
        <w:tc>
          <w:tcPr>
            <w:tcW w:type="dxa" w:w="1872"/>
            <w:tcBorders>
              <w:top w:val="single" w:sz="12.0" w:color="000000"/>
              <w:right w:val="single" w:sz="12.0" w:color="000000"/>
              <w:bottom w:val="single" w:sz="12.0" w:color="000000"/>
              <w:left w:val="single" w:sz="12.0" w:color="000000"/>
            </w:tcBorders>
          </w:tcPr>
          <w:p>
            <w:pPr>
              <w:jc w:val="center"/>
            </w:pPr>
            <w:r>
              <w:t>Formally terminates the signed but inapplicable LLC Operating Agreement and any related LLC‑targeted IP assignment; mutual release of claims arising under those documents</w:t>
            </w:r>
          </w:p>
        </w:tc>
        <w:tc>
          <w:tcPr>
            <w:tcW w:type="dxa" w:w="1872"/>
            <w:tcBorders>
              <w:top w:val="single" w:sz="12.0" w:color="000000"/>
              <w:right w:val="single" w:sz="12.0" w:color="000000"/>
              <w:bottom w:val="single" w:sz="12.0" w:color="000000"/>
              <w:left w:val="single" w:sz="12.0" w:color="000000"/>
            </w:tcBorders>
          </w:tcPr>
          <w:p>
            <w:pPr>
              <w:jc w:val="center"/>
            </w:pPr>
            <w:r>
              <w:t>Sanoj and Will</w:t>
            </w:r>
          </w:p>
        </w:tc>
        <w:tc>
          <w:tcPr>
            <w:tcW w:type="dxa" w:w="1872"/>
            <w:tcBorders>
              <w:top w:val="single" w:sz="12.0" w:color="000000"/>
              <w:right w:val="single" w:sz="12.0" w:color="000000"/>
              <w:bottom w:val="single" w:sz="12.0" w:color="000000"/>
              <w:left w:val="single" w:sz="12.0" w:color="000000"/>
            </w:tcBorders>
          </w:tcPr>
          <w:p>
            <w:pPr>
              <w:jc w:val="center"/>
            </w:pPr>
            <w:r>
              <w:t>Day 2–4</w:t>
            </w:r>
          </w:p>
        </w:tc>
        <w:tc>
          <w:tcPr>
            <w:tcW w:type="dxa" w:w="1872"/>
            <w:tcBorders>
              <w:top w:val="single" w:sz="12.0" w:color="000000"/>
              <w:right w:val="single" w:sz="12.0" w:color="000000"/>
              <w:bottom w:val="single" w:sz="12.0" w:color="000000"/>
              <w:left w:val="single" w:sz="12.0" w:color="000000"/>
            </w:tcBorders>
          </w:tcPr>
          <w:p>
            <w:pPr>
              <w:jc w:val="center"/>
            </w:pPr>
            <w:r>
              <w:t>Ensures the LLC contracts do not cloud title or expectations; acknowledges those agreements never became effective because no LLC was formed</w:t>
            </w:r>
          </w:p>
        </w:tc>
      </w:tr>
      <w:tr>
        <w:tc>
          <w:tcPr>
            <w:tcW w:type="dxa" w:w="1872"/>
            <w:tcBorders>
              <w:top w:val="single" w:sz="12.0" w:color="000000"/>
              <w:right w:val="single" w:sz="12.0" w:color="000000"/>
              <w:bottom w:val="single" w:sz="12.0" w:color="000000"/>
              <w:left w:val="single" w:sz="12.0" w:color="000000"/>
            </w:tcBorders>
          </w:tcPr>
          <w:p>
            <w:pPr>
              <w:jc w:val="center"/>
            </w:pPr>
            <w:r>
              <w:t>Technology/IP Assignment Agreement — Sanoj to the C‑corp</w:t>
            </w:r>
          </w:p>
        </w:tc>
        <w:tc>
          <w:tcPr>
            <w:tcW w:type="dxa" w:w="1872"/>
            <w:tcBorders>
              <w:top w:val="single" w:sz="12.0" w:color="000000"/>
              <w:right w:val="single" w:sz="12.0" w:color="000000"/>
              <w:bottom w:val="single" w:sz="12.0" w:color="000000"/>
              <w:left w:val="single" w:sz="12.0" w:color="000000"/>
            </w:tcBorders>
          </w:tcPr>
          <w:p>
            <w:pPr>
              <w:jc w:val="center"/>
            </w:pPr>
            <w:r>
              <w:t>Assigns all “Founder IP” to the corporation; repeats the 17 U.S.C. §204(a) writing requirement language; includes moral rights waivers where applicable; covers improvements</w:t>
            </w:r>
          </w:p>
        </w:tc>
        <w:tc>
          <w:tcPr>
            <w:tcW w:type="dxa" w:w="1872"/>
            <w:tcBorders>
              <w:top w:val="single" w:sz="12.0" w:color="000000"/>
              <w:right w:val="single" w:sz="12.0" w:color="000000"/>
              <w:bottom w:val="single" w:sz="12.0" w:color="000000"/>
              <w:left w:val="single" w:sz="12.0" w:color="000000"/>
            </w:tcBorders>
          </w:tcPr>
          <w:p>
            <w:pPr>
              <w:jc w:val="center"/>
            </w:pPr>
            <w:r>
              <w:t>Sanoj; company countersigns</w:t>
            </w:r>
          </w:p>
        </w:tc>
        <w:tc>
          <w:tcPr>
            <w:tcW w:type="dxa" w:w="1872"/>
            <w:tcBorders>
              <w:top w:val="single" w:sz="12.0" w:color="000000"/>
              <w:right w:val="single" w:sz="12.0" w:color="000000"/>
              <w:bottom w:val="single" w:sz="12.0" w:color="000000"/>
              <w:left w:val="single" w:sz="12.0" w:color="000000"/>
            </w:tcBorders>
          </w:tcPr>
          <w:p>
            <w:pPr>
              <w:jc w:val="center"/>
            </w:pPr>
            <w:r>
              <w:t>Day 2–5</w:t>
            </w:r>
          </w:p>
        </w:tc>
        <w:tc>
          <w:tcPr>
            <w:tcW w:type="dxa" w:w="1872"/>
            <w:tcBorders>
              <w:top w:val="single" w:sz="12.0" w:color="000000"/>
              <w:right w:val="single" w:sz="12.0" w:color="000000"/>
              <w:bottom w:val="single" w:sz="12.0" w:color="000000"/>
              <w:left w:val="single" w:sz="12.0" w:color="000000"/>
            </w:tcBorders>
          </w:tcPr>
          <w:p>
            <w:pPr>
              <w:jc w:val="center"/>
            </w:pPr>
            <w:r>
              <w:t>Replaces the LLC‑targeted IP assignment; maps exactly from the Operating Agreement’s IP section and Deal Memo’s chain‑of‑title objective</w:t>
            </w:r>
          </w:p>
        </w:tc>
      </w:tr>
      <w:tr>
        <w:tc>
          <w:tcPr>
            <w:tcW w:type="dxa" w:w="1872"/>
            <w:tcBorders>
              <w:top w:val="single" w:sz="12.0" w:color="000000"/>
              <w:right w:val="single" w:sz="12.0" w:color="000000"/>
              <w:bottom w:val="single" w:sz="12.0" w:color="000000"/>
              <w:left w:val="single" w:sz="12.0" w:color="000000"/>
            </w:tcBorders>
          </w:tcPr>
          <w:p>
            <w:pPr>
              <w:jc w:val="center"/>
            </w:pPr>
            <w:r>
              <w:t>Confidential Information and Invention Assignment Agreement (CIIAA) — Will</w:t>
            </w:r>
          </w:p>
        </w:tc>
        <w:tc>
          <w:tcPr>
            <w:tcW w:type="dxa" w:w="1872"/>
            <w:tcBorders>
              <w:top w:val="single" w:sz="12.0" w:color="000000"/>
              <w:right w:val="single" w:sz="12.0" w:color="000000"/>
              <w:bottom w:val="single" w:sz="12.0" w:color="000000"/>
              <w:left w:val="single" w:sz="12.0" w:color="000000"/>
            </w:tcBorders>
          </w:tcPr>
          <w:p>
            <w:pPr>
              <w:jc w:val="center"/>
            </w:pPr>
            <w:r>
              <w:t>Confirms confidentiality; assigns any SHEP‑related work product to the company; affirms no use of employer resources or confidential info in contributions</w:t>
            </w:r>
          </w:p>
        </w:tc>
        <w:tc>
          <w:tcPr>
            <w:tcW w:type="dxa" w:w="1872"/>
            <w:tcBorders>
              <w:top w:val="single" w:sz="12.0" w:color="000000"/>
              <w:right w:val="single" w:sz="12.0" w:color="000000"/>
              <w:bottom w:val="single" w:sz="12.0" w:color="000000"/>
              <w:left w:val="single" w:sz="12.0" w:color="000000"/>
            </w:tcBorders>
          </w:tcPr>
          <w:p>
            <w:pPr>
              <w:jc w:val="center"/>
            </w:pPr>
            <w:r>
              <w:t>Will; company countersigns</w:t>
            </w:r>
          </w:p>
        </w:tc>
        <w:tc>
          <w:tcPr>
            <w:tcW w:type="dxa" w:w="1872"/>
            <w:tcBorders>
              <w:top w:val="single" w:sz="12.0" w:color="000000"/>
              <w:right w:val="single" w:sz="12.0" w:color="000000"/>
              <w:bottom w:val="single" w:sz="12.0" w:color="000000"/>
              <w:left w:val="single" w:sz="12.0" w:color="000000"/>
            </w:tcBorders>
          </w:tcPr>
          <w:p>
            <w:pPr>
              <w:jc w:val="center"/>
            </w:pPr>
            <w:r>
              <w:t>Day 2–5</w:t>
            </w:r>
          </w:p>
        </w:tc>
        <w:tc>
          <w:tcPr>
            <w:tcW w:type="dxa" w:w="1872"/>
            <w:tcBorders>
              <w:top w:val="single" w:sz="12.0" w:color="000000"/>
              <w:right w:val="single" w:sz="12.0" w:color="000000"/>
              <w:bottom w:val="single" w:sz="12.0" w:color="000000"/>
              <w:left w:val="single" w:sz="12.0" w:color="000000"/>
            </w:tcBorders>
          </w:tcPr>
          <w:p>
            <w:pPr>
              <w:jc w:val="center"/>
            </w:pPr>
            <w:r>
              <w:t>Mirrors OA §7.2 commitments in a C‑corp form and the Deal Memo’s non‑use covenant</w:t>
            </w:r>
          </w:p>
        </w:tc>
      </w:tr>
      <w:tr>
        <w:tc>
          <w:tcPr>
            <w:tcW w:type="dxa" w:w="1872"/>
            <w:tcBorders>
              <w:top w:val="single" w:sz="12.0" w:color="000000"/>
              <w:right w:val="single" w:sz="12.0" w:color="000000"/>
              <w:bottom w:val="single" w:sz="12.0" w:color="000000"/>
              <w:left w:val="single" w:sz="12.0" w:color="000000"/>
            </w:tcBorders>
          </w:tcPr>
          <w:p>
            <w:pPr>
              <w:jc w:val="center"/>
            </w:pPr>
            <w:r>
              <w:t>Board resolution acknowledging Will’s $3,500 initial funding split</w:t>
            </w:r>
          </w:p>
        </w:tc>
        <w:tc>
          <w:tcPr>
            <w:tcW w:type="dxa" w:w="1872"/>
            <w:tcBorders>
              <w:top w:val="single" w:sz="12.0" w:color="000000"/>
              <w:right w:val="single" w:sz="12.0" w:color="000000"/>
              <w:bottom w:val="single" w:sz="12.0" w:color="000000"/>
              <w:left w:val="single" w:sz="12.0" w:color="000000"/>
            </w:tcBorders>
          </w:tcPr>
          <w:p>
            <w:pPr>
              <w:jc w:val="center"/>
            </w:pPr>
            <w:r>
              <w:t>Acknowledges $250 applied to share purchase at par and $3,250 as a nonrefundable capital contribution; confirms no percentage change from additional contributions unless expressly approved</w:t>
            </w:r>
          </w:p>
        </w:tc>
        <w:tc>
          <w:tcPr>
            <w:tcW w:type="dxa" w:w="1872"/>
            <w:tcBorders>
              <w:top w:val="single" w:sz="12.0" w:color="000000"/>
              <w:right w:val="single" w:sz="12.0" w:color="000000"/>
              <w:bottom w:val="single" w:sz="12.0" w:color="000000"/>
              <w:left w:val="single" w:sz="12.0" w:color="000000"/>
            </w:tcBorders>
          </w:tcPr>
          <w:p>
            <w:pPr>
              <w:jc w:val="center"/>
            </w:pPr>
            <w:r>
              <w:t>Board</w:t>
            </w:r>
          </w:p>
        </w:tc>
        <w:tc>
          <w:tcPr>
            <w:tcW w:type="dxa" w:w="1872"/>
            <w:tcBorders>
              <w:top w:val="single" w:sz="12.0" w:color="000000"/>
              <w:right w:val="single" w:sz="12.0" w:color="000000"/>
              <w:bottom w:val="single" w:sz="12.0" w:color="000000"/>
              <w:left w:val="single" w:sz="12.0" w:color="000000"/>
            </w:tcBorders>
          </w:tcPr>
          <w:p>
            <w:pPr>
              <w:jc w:val="center"/>
            </w:pPr>
            <w:r>
              <w:t>Day 2–5</w:t>
            </w:r>
          </w:p>
        </w:tc>
        <w:tc>
          <w:tcPr>
            <w:tcW w:type="dxa" w:w="1872"/>
            <w:tcBorders>
              <w:top w:val="single" w:sz="12.0" w:color="000000"/>
              <w:right w:val="single" w:sz="12.0" w:color="000000"/>
              <w:bottom w:val="single" w:sz="12.0" w:color="000000"/>
              <w:left w:val="single" w:sz="12.0" w:color="000000"/>
            </w:tcBorders>
          </w:tcPr>
          <w:p>
            <w:pPr>
              <w:jc w:val="center"/>
            </w:pPr>
            <w:r>
              <w:t>Implements the Initial Contribution economics and preserves the 75/25 split without unintended dilution</w:t>
            </w:r>
          </w:p>
        </w:tc>
      </w:tr>
      <w:tr>
        <w:tc>
          <w:tcPr>
            <w:tcW w:type="dxa" w:w="1872"/>
            <w:tcBorders>
              <w:top w:val="single" w:sz="12.0" w:color="000000"/>
              <w:right w:val="single" w:sz="12.0" w:color="000000"/>
              <w:bottom w:val="single" w:sz="12.0" w:color="000000"/>
              <w:left w:val="single" w:sz="12.0" w:color="000000"/>
            </w:tcBorders>
          </w:tcPr>
          <w:p>
            <w:pPr>
              <w:jc w:val="center"/>
            </w:pPr>
            <w:r>
              <w:t>Capital contribution minutes for ongoing ~$550/month</w:t>
            </w:r>
          </w:p>
        </w:tc>
        <w:tc>
          <w:tcPr>
            <w:tcW w:type="dxa" w:w="1872"/>
            <w:tcBorders>
              <w:top w:val="single" w:sz="12.0" w:color="000000"/>
              <w:right w:val="single" w:sz="12.0" w:color="000000"/>
              <w:bottom w:val="single" w:sz="12.0" w:color="000000"/>
              <w:left w:val="single" w:sz="12.0" w:color="000000"/>
            </w:tcBorders>
          </w:tcPr>
          <w:p>
            <w:pPr>
              <w:jc w:val="center"/>
            </w:pPr>
            <w:r>
              <w:t>Memorializes that periodic amounts Will advances are voluntary, nonrefundable capital contributions; not conditions of ownership; no equity issued for these amounts absent new board approval</w:t>
            </w:r>
          </w:p>
        </w:tc>
        <w:tc>
          <w:tcPr>
            <w:tcW w:type="dxa" w:w="1872"/>
            <w:tcBorders>
              <w:top w:val="single" w:sz="12.0" w:color="000000"/>
              <w:right w:val="single" w:sz="12.0" w:color="000000"/>
              <w:bottom w:val="single" w:sz="12.0" w:color="000000"/>
              <w:left w:val="single" w:sz="12.0" w:color="000000"/>
            </w:tcBorders>
          </w:tcPr>
          <w:p>
            <w:pPr>
              <w:jc w:val="center"/>
            </w:pPr>
            <w:r>
              <w:t>Board</w:t>
            </w:r>
          </w:p>
        </w:tc>
        <w:tc>
          <w:tcPr>
            <w:tcW w:type="dxa" w:w="1872"/>
            <w:tcBorders>
              <w:top w:val="single" w:sz="12.0" w:color="000000"/>
              <w:right w:val="single" w:sz="12.0" w:color="000000"/>
              <w:bottom w:val="single" w:sz="12.0" w:color="000000"/>
              <w:left w:val="single" w:sz="12.0" w:color="000000"/>
            </w:tcBorders>
          </w:tcPr>
          <w:p>
            <w:pPr>
              <w:jc w:val="center"/>
            </w:pPr>
            <w:r>
              <w:t>Day 5–10; then as needed</w:t>
            </w:r>
          </w:p>
        </w:tc>
        <w:tc>
          <w:tcPr>
            <w:tcW w:type="dxa" w:w="1872"/>
            <w:tcBorders>
              <w:top w:val="single" w:sz="12.0" w:color="000000"/>
              <w:right w:val="single" w:sz="12.0" w:color="000000"/>
              <w:bottom w:val="single" w:sz="12.0" w:color="000000"/>
              <w:left w:val="single" w:sz="12.0" w:color="000000"/>
            </w:tcBorders>
          </w:tcPr>
          <w:p>
            <w:pPr>
              <w:jc w:val="center"/>
            </w:pPr>
            <w:r>
              <w:t>Carries forward Deal Memo’s “not a condition of ownership” principle into the cap‑table record</w:t>
            </w:r>
          </w:p>
        </w:tc>
      </w:tr>
      <w:tr>
        <w:tc>
          <w:tcPr>
            <w:tcW w:type="dxa" w:w="1872"/>
            <w:tcBorders>
              <w:top w:val="single" w:sz="12.0" w:color="000000"/>
              <w:right w:val="single" w:sz="12.0" w:color="000000"/>
              <w:bottom w:val="single" w:sz="12.0" w:color="000000"/>
              <w:left w:val="single" w:sz="12.0" w:color="000000"/>
            </w:tcBorders>
          </w:tcPr>
          <w:p>
            <w:pPr>
              <w:jc w:val="center"/>
            </w:pPr>
            <w:r>
              <w:t>Stock legend/un‑certificated share notices and Stock Ledger</w:t>
            </w:r>
          </w:p>
        </w:tc>
        <w:tc>
          <w:tcPr>
            <w:tcW w:type="dxa" w:w="1872"/>
            <w:tcBorders>
              <w:top w:val="single" w:sz="12.0" w:color="000000"/>
              <w:right w:val="single" w:sz="12.0" w:color="000000"/>
              <w:bottom w:val="single" w:sz="12.0" w:color="000000"/>
              <w:left w:val="single" w:sz="12.0" w:color="000000"/>
            </w:tcBorders>
          </w:tcPr>
          <w:p>
            <w:pPr>
              <w:jc w:val="center"/>
            </w:pPr>
            <w:r>
              <w:t>Issues share evidence and maintains the official ledger with 7.5M/2.5M share split; notes transfer restrictions and repurchase rights</w:t>
            </w:r>
          </w:p>
        </w:tc>
        <w:tc>
          <w:tcPr>
            <w:tcW w:type="dxa" w:w="1872"/>
            <w:tcBorders>
              <w:top w:val="single" w:sz="12.0" w:color="000000"/>
              <w:right w:val="single" w:sz="12.0" w:color="000000"/>
              <w:bottom w:val="single" w:sz="12.0" w:color="000000"/>
              <w:left w:val="single" w:sz="12.0" w:color="000000"/>
            </w:tcBorders>
          </w:tcPr>
          <w:p>
            <w:pPr>
              <w:jc w:val="center"/>
            </w:pPr>
            <w:r>
              <w:t>Company</w:t>
            </w:r>
          </w:p>
        </w:tc>
        <w:tc>
          <w:tcPr>
            <w:tcW w:type="dxa" w:w="1872"/>
            <w:tcBorders>
              <w:top w:val="single" w:sz="12.0" w:color="000000"/>
              <w:right w:val="single" w:sz="12.0" w:color="000000"/>
              <w:bottom w:val="single" w:sz="12.0" w:color="000000"/>
              <w:left w:val="single" w:sz="12.0" w:color="000000"/>
            </w:tcBorders>
          </w:tcPr>
          <w:p>
            <w:pPr>
              <w:jc w:val="center"/>
            </w:pPr>
            <w:r>
              <w:t>Upon issuance</w:t>
            </w:r>
          </w:p>
        </w:tc>
        <w:tc>
          <w:tcPr>
            <w:tcW w:type="dxa" w:w="1872"/>
            <w:tcBorders>
              <w:top w:val="single" w:sz="12.0" w:color="000000"/>
              <w:right w:val="single" w:sz="12.0" w:color="000000"/>
              <w:bottom w:val="single" w:sz="12.0" w:color="000000"/>
              <w:left w:val="single" w:sz="12.0" w:color="000000"/>
            </w:tcBorders>
          </w:tcPr>
          <w:p>
            <w:pPr>
              <w:jc w:val="center"/>
            </w:pPr>
            <w:r>
              <w:t>Corporate recordkeeping analog to OA’s transfer restrictions and ROFR regime</w:t>
            </w:r>
          </w:p>
        </w:tc>
      </w:tr>
      <w:tr>
        <w:tc>
          <w:tcPr>
            <w:tcW w:type="dxa" w:w="1872"/>
            <w:tcBorders>
              <w:top w:val="single" w:sz="12.0" w:color="000000"/>
              <w:right w:val="single" w:sz="12.0" w:color="000000"/>
              <w:bottom w:val="single" w:sz="12.0" w:color="000000"/>
              <w:left w:val="single" w:sz="12.0" w:color="000000"/>
            </w:tcBorders>
          </w:tcPr>
          <w:p>
            <w:pPr>
              <w:jc w:val="center"/>
            </w:pPr>
            <w:r>
              <w:t>Stockholders’ Agreement (two‑party, lightweight)</w:t>
            </w:r>
          </w:p>
        </w:tc>
        <w:tc>
          <w:tcPr>
            <w:tcW w:type="dxa" w:w="1872"/>
            <w:tcBorders>
              <w:top w:val="single" w:sz="12.0" w:color="000000"/>
              <w:right w:val="single" w:sz="12.0" w:color="000000"/>
              <w:bottom w:val="single" w:sz="12.0" w:color="000000"/>
              <w:left w:val="single" w:sz="12.0" w:color="000000"/>
            </w:tcBorders>
          </w:tcPr>
          <w:p>
            <w:pPr>
              <w:jc w:val="center"/>
            </w:pPr>
            <w:r>
              <w:t>Consolidates ROFR, co‑sale, drag‑along/tag‑along, and buy‑sell mechanics into a single agreement between Sanoj and Will to mirror the OA protections in corporate form</w:t>
            </w:r>
          </w:p>
        </w:tc>
        <w:tc>
          <w:tcPr>
            <w:tcW w:type="dxa" w:w="1872"/>
            <w:tcBorders>
              <w:top w:val="single" w:sz="12.0" w:color="000000"/>
              <w:right w:val="single" w:sz="12.0" w:color="000000"/>
              <w:bottom w:val="single" w:sz="12.0" w:color="000000"/>
              <w:left w:val="single" w:sz="12.0" w:color="000000"/>
            </w:tcBorders>
          </w:tcPr>
          <w:p>
            <w:pPr>
              <w:jc w:val="center"/>
            </w:pPr>
            <w:r>
              <w:t>Sanoj and Will; company joins for acknowledgments</w:t>
            </w:r>
          </w:p>
        </w:tc>
        <w:tc>
          <w:tcPr>
            <w:tcW w:type="dxa" w:w="1872"/>
            <w:tcBorders>
              <w:top w:val="single" w:sz="12.0" w:color="000000"/>
              <w:right w:val="single" w:sz="12.0" w:color="000000"/>
              <w:bottom w:val="single" w:sz="12.0" w:color="000000"/>
              <w:left w:val="single" w:sz="12.0" w:color="000000"/>
            </w:tcBorders>
          </w:tcPr>
          <w:p>
            <w:pPr>
              <w:jc w:val="center"/>
            </w:pPr>
            <w:r>
              <w:t>Optional but recommended in early stage</w:t>
            </w:r>
          </w:p>
        </w:tc>
        <w:tc>
          <w:tcPr>
            <w:tcW w:type="dxa" w:w="1872"/>
            <w:tcBorders>
              <w:top w:val="single" w:sz="12.0" w:color="000000"/>
              <w:right w:val="single" w:sz="12.0" w:color="000000"/>
              <w:bottom w:val="single" w:sz="12.0" w:color="000000"/>
              <w:left w:val="single" w:sz="12.0" w:color="000000"/>
            </w:tcBorders>
          </w:tcPr>
          <w:p>
            <w:pPr>
              <w:jc w:val="center"/>
            </w:pPr>
            <w:r>
              <w:t>Ports OA protections into a single, investor‑familiar document for simplicity during diligence</w:t>
            </w:r>
          </w:p>
        </w:tc>
      </w:tr>
      <w:tr>
        <w:tc>
          <w:tcPr>
            <w:tcW w:type="dxa" w:w="1872"/>
            <w:tcBorders>
              <w:top w:val="single" w:sz="12.0" w:color="000000"/>
              <w:right w:val="single" w:sz="12.0" w:color="000000"/>
              <w:bottom w:val="single" w:sz="12.0" w:color="000000"/>
              <w:left w:val="single" w:sz="12.0" w:color="000000"/>
            </w:tcBorders>
          </w:tcPr>
          <w:p>
            <w:pPr>
              <w:jc w:val="center"/>
            </w:pPr>
            <w:r>
              <w:t>New York Application for Authority (foreign qualification)</w:t>
            </w:r>
          </w:p>
        </w:tc>
        <w:tc>
          <w:tcPr>
            <w:tcW w:type="dxa" w:w="1872"/>
            <w:tcBorders>
              <w:top w:val="single" w:sz="12.0" w:color="000000"/>
              <w:right w:val="single" w:sz="12.0" w:color="000000"/>
              <w:bottom w:val="single" w:sz="12.0" w:color="000000"/>
              <w:left w:val="single" w:sz="12.0" w:color="000000"/>
            </w:tcBorders>
          </w:tcPr>
          <w:p>
            <w:pPr>
              <w:jc w:val="center"/>
            </w:pPr>
            <w:r>
              <w:t>Qualifies the Delaware corporation to do business in NY so that operations based from NYC are in good standing; includes Certificate of Good Standing from DE</w:t>
            </w:r>
          </w:p>
        </w:tc>
        <w:tc>
          <w:tcPr>
            <w:tcW w:type="dxa" w:w="1872"/>
            <w:tcBorders>
              <w:top w:val="single" w:sz="12.0" w:color="000000"/>
              <w:right w:val="single" w:sz="12.0" w:color="000000"/>
              <w:bottom w:val="single" w:sz="12.0" w:color="000000"/>
              <w:left w:val="single" w:sz="12.0" w:color="000000"/>
            </w:tcBorders>
          </w:tcPr>
          <w:p>
            <w:pPr>
              <w:jc w:val="center"/>
            </w:pPr>
            <w:r>
              <w:t>Officer signs; NY DOS filing</w:t>
            </w:r>
          </w:p>
        </w:tc>
        <w:tc>
          <w:tcPr>
            <w:tcW w:type="dxa" w:w="1872"/>
            <w:tcBorders>
              <w:top w:val="single" w:sz="12.0" w:color="000000"/>
              <w:right w:val="single" w:sz="12.0" w:color="000000"/>
              <w:bottom w:val="single" w:sz="12.0" w:color="000000"/>
              <w:left w:val="single" w:sz="12.0" w:color="000000"/>
            </w:tcBorders>
          </w:tcPr>
          <w:p>
            <w:pPr>
              <w:jc w:val="center"/>
            </w:pPr>
            <w:r>
              <w:t>File as you open for business</w:t>
            </w:r>
          </w:p>
        </w:tc>
        <w:tc>
          <w:tcPr>
            <w:tcW w:type="dxa" w:w="1872"/>
            <w:tcBorders>
              <w:top w:val="single" w:sz="12.0" w:color="000000"/>
              <w:right w:val="single" w:sz="12.0" w:color="000000"/>
              <w:bottom w:val="single" w:sz="12.0" w:color="000000"/>
              <w:left w:val="single" w:sz="12.0" w:color="000000"/>
            </w:tcBorders>
          </w:tcPr>
          <w:p>
            <w:pPr>
              <w:jc w:val="center"/>
            </w:pPr>
            <w:r>
              <w:t>Corporate analog to operating from NYC under the LLC; necessary to transact cleanly in NY</w:t>
            </w:r>
          </w:p>
        </w:tc>
      </w:tr>
      <w:tr>
        <w:tc>
          <w:tcPr>
            <w:tcW w:type="dxa" w:w="1872"/>
            <w:tcBorders>
              <w:top w:val="single" w:sz="12.0" w:color="000000"/>
              <w:right w:val="single" w:sz="12.0" w:color="000000"/>
              <w:bottom w:val="single" w:sz="12.0" w:color="000000"/>
              <w:left w:val="single" w:sz="12.0" w:color="000000"/>
            </w:tcBorders>
          </w:tcPr>
          <w:p>
            <w:pPr>
              <w:jc w:val="center"/>
            </w:pPr>
            <w:r>
              <w:t>Banking resolutions and account opening package</w:t>
            </w:r>
          </w:p>
        </w:tc>
        <w:tc>
          <w:tcPr>
            <w:tcW w:type="dxa" w:w="1872"/>
            <w:tcBorders>
              <w:top w:val="single" w:sz="12.0" w:color="000000"/>
              <w:right w:val="single" w:sz="12.0" w:color="000000"/>
              <w:bottom w:val="single" w:sz="12.0" w:color="000000"/>
              <w:left w:val="single" w:sz="12.0" w:color="000000"/>
            </w:tcBorders>
          </w:tcPr>
          <w:p>
            <w:pPr>
              <w:jc w:val="center"/>
            </w:pPr>
            <w:r>
              <w:t>Authorizes corporate bank account; designates signatories; aligns with OA’s separate‑funds expectation</w:t>
            </w:r>
          </w:p>
        </w:tc>
        <w:tc>
          <w:tcPr>
            <w:tcW w:type="dxa" w:w="1872"/>
            <w:tcBorders>
              <w:top w:val="single" w:sz="12.0" w:color="000000"/>
              <w:right w:val="single" w:sz="12.0" w:color="000000"/>
              <w:bottom w:val="single" w:sz="12.0" w:color="000000"/>
              <w:left w:val="single" w:sz="12.0" w:color="000000"/>
            </w:tcBorders>
          </w:tcPr>
          <w:p>
            <w:pPr>
              <w:jc w:val="center"/>
            </w:pPr>
            <w:r>
              <w:t>Board; bank forms</w:t>
            </w:r>
          </w:p>
        </w:tc>
        <w:tc>
          <w:tcPr>
            <w:tcW w:type="dxa" w:w="1872"/>
            <w:tcBorders>
              <w:top w:val="single" w:sz="12.0" w:color="000000"/>
              <w:right w:val="single" w:sz="12.0" w:color="000000"/>
              <w:bottom w:val="single" w:sz="12.0" w:color="000000"/>
              <w:left w:val="single" w:sz="12.0" w:color="000000"/>
            </w:tcBorders>
          </w:tcPr>
          <w:p>
            <w:pPr>
              <w:jc w:val="center"/>
            </w:pPr>
            <w:r>
              <w:t>Upon EIN receipt</w:t>
            </w:r>
          </w:p>
        </w:tc>
        <w:tc>
          <w:tcPr>
            <w:tcW w:type="dxa" w:w="1872"/>
            <w:tcBorders>
              <w:top w:val="single" w:sz="12.0" w:color="000000"/>
              <w:right w:val="single" w:sz="12.0" w:color="000000"/>
              <w:bottom w:val="single" w:sz="12.0" w:color="000000"/>
              <w:left w:val="single" w:sz="12.0" w:color="000000"/>
            </w:tcBorders>
          </w:tcPr>
          <w:p>
            <w:pPr>
              <w:jc w:val="center"/>
            </w:pPr>
            <w:r>
              <w:t>Implements OA’s separate books and records and bank‑account expectation</w:t>
            </w:r>
          </w:p>
        </w:tc>
      </w:tr>
    </w:tbl>
    <w:p>
      <w:r/>
    </w:p>
    <w:p>
      <w:pPr/>
      <w:r>
        <w:t>Notes: The Mutual Termination should expressly state that the LLC Operating Agreement never became effective because the contemplated LLC was never formed, preventing any ambiguity about capital interests or management authority carrying forward. The Technology/IP Assignment should track the language in your Operating Agreement acknowledging the copyright writing requirement under 17 U.S.C. §204(a) so the IP chain of title is indisputable.</w:t>
      </w:r>
      <w:r/>
    </w:p>
    <w:p>
      <w:pPr>
        <w:pStyle w:val="Heading2"/>
      </w:pPr>
      <w:r>
        <w:t>Mapping your economics and protections to the new paper</w:t>
      </w:r>
      <w:r/>
    </w:p>
    <w:p>
      <w:pPr/>
      <w:r>
        <w:t>The Initial Written Consent and Founders’ Stock Purchase Agreements are where your economics crystallize. The board consent should approve issuance of 7,500,000 common shares to Sanoj for IP plus a nominal cash amount, and 2,500,000 common shares to Will for nominal cash, replicating the 75/25 split that became effective upon completion of the $3,500 initial funding in the LLC plan. The same consent should approve crediting $250 of Will’s $3,500 to his share purchase and recording the remaining $3,250 as a nonrefundable capital contribution, and should further authorize acceptance of approximately $550 per month as voluntary, nonrefundable capital contributions that do not alter ownership. The Founders’ agreements can either implement the investor‑standard vesting model later, or, now, replicate your agreed “Disengagement Event” mechanics as a repurchase trigger in lieu of vesting, with ROFR, co‑sale, and drag‑along carried over to maintain the Operating Agreement’s protections.</w:t>
      </w:r>
      <w:r/>
    </w:p>
    <w:p>
      <w:pPr>
        <w:pStyle w:val="Heading2"/>
      </w:pPr>
      <w:r>
        <w:t>Legacy cleanup and IP chain‑of‑title</w:t>
      </w:r>
      <w:r/>
    </w:p>
    <w:p>
      <w:pPr/>
      <w:r>
        <w:t>The mutual termination and release is the small but crucial bridge from papered‑but‑unfiled LLC to clean C‑corp. It should identify the Operating Agreement by name and date, state that it never became effective due to the absence of an LLC formation filing, and release any claims under it. The separate Technology/IP Assignment from Sanoj to the corporation then completes the chain‑of‑title that your Operating Agreement and Deal Memo sought to accomplish for the LLC, using substantially the same definitions and acknowledgment that a copyright transfer must be evidenced in a signed writing. Together, these two documents ensure there is no ambiguity about ownership of the code, brand, designs, content, or future improvements.</w:t>
      </w:r>
      <w:r/>
    </w:p>
    <w:p>
      <w:pPr>
        <w:pStyle w:val="Heading2"/>
      </w:pPr>
      <w:r>
        <w:t>State qualification and operations readiness</w:t>
      </w:r>
      <w:r/>
    </w:p>
    <w:p>
      <w:pPr/>
      <w:r>
        <w:t>Because you will be operating the business from New York City, you should file the New York Application for Authority promptly as you open for business, using a Delaware Certificate of Good Standing obtained after formation. Concurrently, the board should authorize opening the corporate bank account, consistent with your Operating Agreement’s expectation that company and personal funds be kept separate, and you should update your payment processor profile to the corporation’s legal name and EIN. These steps align your operational footprint with the new entity without altering any of the economics you already agreed.</w:t>
      </w:r>
      <w:r/>
    </w:p>
    <w:p>
      <w:pPr>
        <w:pStyle w:val="Heading2"/>
      </w:pPr>
      <w:r>
        <w:t>Conclusion</w:t>
      </w:r>
      <w:r/>
    </w:p>
    <w:p>
      <w:pPr/>
      <w:r>
        <w:t>The document suite above gives you a direct, low‑friction path from your signed—but inapplicable—LLC paper to a fully implemented Delaware C‑corporation that preserves the 75/25 split, Will’s $3,500 initial funding, the monthly support as nonrefundable capital contributions, the confidentiality and work‑product assignments, and the ROFR/drag‑tag/disengagement protections that defined your Operating Agreement and Deal Memo. If you wish to avoid vesting now, use the founders’ stock purchase agreements with a “Disengagement Event” repurchase right; you can always amend to introduce standard reverse vesting later if circumstances or investor expectations change. With these documents drafted and executed, you will have a clean cap table, a clean IP chain of title, and governance and state qualifications aligned with your planned May 15, 2026 launch.</w:t>
      </w:r>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40" w:lineRule="auto"/>
      <w:jc w:val="left"/>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360" w:lineRule="auto"/>
      <w:outlineLvl w:val="0"/>
    </w:pPr>
    <w:rPr>
      <w:rFonts w:ascii="Times New Roman" w:hAnsi="Times New Roman"/>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rFonts w:ascii="Times New Roman" w:hAnsi="Times New Roman"/>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rFonts w:ascii="Times New Roman" w:hAnsi="Times New Roman"/>
      <w:b/>
      <w:bCs/>
      <w:color w:val="000000"/>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rFonts w:ascii="Times New Roman" w:hAnsi="Times New Roman"/>
      <w:b/>
      <w:bCs/>
      <w:i/>
      <w:iCs/>
      <w:color w:val="000000"/>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rPr>
      <w:rFonts w:ascii="Times New Roman" w:hAnsi="Times New Roman"/>
      <w:color w:val="000000"/>
    </w:r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rFonts w:ascii="Times New Roman" w:hAnsi="Times New Roman"/>
      <w:i/>
      <w:iCs/>
      <w:color w:val="000000"/>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rFonts w:ascii="Times New Roman" w:hAnsi="Times New Roman"/>
      <w:i/>
      <w:iCs/>
      <w:color w:val="000000"/>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rFonts w:ascii="Times New Roman" w:hAnsi="Times New Roman"/>
      <w:color w:val="000000"/>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rFonts w:ascii="Times New Roman" w:hAnsi="Times New Roman"/>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rFonts w:ascii="Times New Roman" w:hAnsi="Times New Roman"/>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rFonts w:ascii="Times New Roman" w:hAnsi="Times New Roman"/>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rPr>
  </w:style>
  <w:style w:type="paragraph" w:styleId="BodyText">
    <w:name w:val="Body Text"/>
    <w:basedOn w:val="Normal"/>
    <w:link w:val="BodyTextChar"/>
    <w:uiPriority w:val="99"/>
    <w:unhideWhenUsed/>
    <w:rsid w:val="00AA1D8D"/>
    <w:pPr>
      <w:spacing w:after="120" w:line="240" w:lineRule="auto"/>
      <w:jc w:val="left"/>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240" w:lineRule="auto"/>
      <w:jc w:val="left"/>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40" w:lineRule="auto"/>
      <w:jc w:val="left"/>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rPr>
  </w:style>
  <w:style w:type="paragraph" w:styleId="List2">
    <w:name w:val="List 2"/>
    <w:basedOn w:val="Normal"/>
    <w:uiPriority w:val="99"/>
    <w:unhideWhenUsed/>
    <w:rsid w:val="00326F90"/>
    <w:pPr>
      <w:ind w:left="720" w:hanging="360"/>
      <w:contextualSpacing/>
    </w:pPr>
    <w:rPr>
      <w:rFonts w:ascii="Times New Roman" w:hAnsi="Times New Roman"/>
      <w:color w:val="000000"/>
    </w:rPr>
  </w:style>
  <w:style w:type="paragraph" w:styleId="List3">
    <w:name w:val="List 3"/>
    <w:basedOn w:val="Normal"/>
    <w:uiPriority w:val="99"/>
    <w:unhideWhenUsed/>
    <w:rsid w:val="00326F90"/>
    <w:pPr>
      <w:ind w:left="1080" w:hanging="360"/>
      <w:contextualSpacing/>
    </w:pPr>
    <w:rPr>
      <w:rFonts w:ascii="Times New Roman" w:hAnsi="Times New Roman"/>
      <w:color w:val="000000"/>
    </w:rPr>
  </w:style>
  <w:style w:type="paragraph" w:styleId="ListBullet">
    <w:name w:val="List Bullet"/>
    <w:basedOn w:val="Normal"/>
    <w:uiPriority w:val="99"/>
    <w:unhideWhenUsed/>
    <w:rsid w:val="00326F90"/>
    <w:pPr>
      <w:numPr>
        <w:numId w:val="1"/>
      </w:numPr>
      <w:contextualSpacing/>
    </w:pPr>
    <w:rPr>
      <w:rFonts w:ascii="Times New Roman" w:hAnsi="Times New Roman"/>
      <w:color w:val="000000"/>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rPr>
  </w:style>
  <w:style w:type="paragraph" w:styleId="ListNumber">
    <w:name w:val="List Number"/>
    <w:basedOn w:val="Normal"/>
    <w:uiPriority w:val="99"/>
    <w:unhideWhenUsed/>
    <w:rsid w:val="00326F90"/>
    <w:pPr>
      <w:numPr>
        <w:numId w:val="5"/>
      </w:numPr>
      <w:contextualSpacing/>
    </w:pPr>
    <w:rPr>
      <w:rFonts w:ascii="Times New Roman" w:hAnsi="Times New Roman"/>
      <w:color w:val="000000"/>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rFonts w:ascii="Times New Roman" w:hAnsi="Times New Roman"/>
      <w:i/>
      <w:iCs/>
      <w:color w:val="000000"/>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rFonts w:ascii="Times New Roman" w:hAnsi="Times New Roman"/>
      <w:b/>
      <w:bCs/>
      <w:i/>
      <w:iCs/>
      <w:color w:val="000000"/>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sallen58@fordham.edu</dc:creator>
  <cp:keywords/>
  <dc:description/>
  <cp:lastModifiedBy/>
  <cp:revision>1</cp:revision>
  <dcterms:created xsi:type="dcterms:W3CDTF">2013-12-23T23:15:00Z</dcterms:created>
  <dcterms:modified xsi:type="dcterms:W3CDTF">2013-12-23T23:15:00Z</dcterms:modified>
  <cp:category/>
</cp:coreProperties>
</file>