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
        <w:t>Below is my substantive guidance on each of your nine questions, informed by a close review of the Operating Agreement and Deal Memo you've already executed.</w:t>
      </w:r>
      <w:r/>
    </w:p>
    <w:p>
      <w:pPr>
        <w:pStyle w:val="Heading2"/>
      </w:pPr>
      <w:r>
        <w:t>Question 1: New York Foreign Corporation Registration</w:t>
      </w:r>
      <w:r/>
    </w:p>
    <w:p>
      <w:pPr/>
      <w:r>
        <w:t>Yes, you almost certainly need to register. Under N.Y. Business Corporation Law §1301(a), a foreign corporation must obtain authority to do business in New York before "doing business" in the state. Sanoj is physically present in New York City, working full-time on SHEP from his apartment — directing operations, making all management decisions, building the product, and (starting May 15) accepting customer payments. The test is not whether you have a physical office or employees; courts and the Secretary of State's office look at whether the company's activities in the state are "regular, systematic, and continuous." A sole founder running the entire business from New York satisfies that standard.</w:t>
      </w:r>
      <w:r/>
    </w:p>
    <w:p>
      <w:pPr/>
      <w:r>
        <w:t xml:space="preserve">The consequence of failing to register is not catastrophic — you are not barred from forming contracts, and transactions are not void — but BCL §1312 prevents an unregistered foreign corporation from maintaining a lawsuit in New York courts until it registers. You would also be exposed to penalties and back fees. Given that registration costs approximately $225 plus the Delaware certificate of good standing (~$50), and there is no publication requirement for a foreign corporation qualifying in New York, there is no rational reason to defer it. </w:t>
      </w:r>
      <w:r>
        <w:rPr>
          <w:b/>
        </w:rPr>
        <w:t>File the Application for Authority concurrently with or immediately after Delaware incorporation.</w:t>
      </w:r>
      <w:r/>
    </w:p>
    <w:p>
      <w:pPr>
        <w:pStyle w:val="Heading2"/>
      </w:pPr>
      <w:r>
        <w:t>Question 2: LLC vs. C-Corp Recommendation</w:t>
      </w:r>
      <w:r/>
    </w:p>
    <w:p>
      <w:pPr/>
      <w:r>
        <w:rPr>
          <w:b/>
        </w:rPr>
        <w:t>My recommendation is Path B — the Delaware C-corporation.</w:t>
      </w:r>
      <w:r>
        <w:t xml:space="preserve"> Your facts point overwhelmingly in this direction for several reasons:</w:t>
      </w:r>
      <w:r/>
      <w:r/>
    </w:p>
    <w:p>
      <w:pPr>
        <w:pStyle w:val="ListNumber"/>
        <w:numPr>
          <w:ilvl w:val="0"/>
          <w:numId w:val="13"/>
        </w:numPr>
        <w:spacing w:after="0" w:line="240" w:lineRule="auto"/>
      </w:pPr>
      <w:r/>
      <w:r>
        <w:rPr>
          <w:b/>
        </w:rPr>
        <w:t>Venture capital readiness.</w:t>
      </w:r>
      <w:r>
        <w:t xml:space="preserve"> You may seek VC in the future. Virtually all institutional investors require a Delaware C-corp. Converting an LLC to a C-corp mid-fundraise is expensive ($15,000–$50,000 in legal fees, as you noted) and creates tax friction — the conversion is treated as a taxable exchange under IRC §708 and potentially §351, and the timeline pressure of a live term sheet makes it worse.</w:t>
      </w:r>
      <w:r/>
      <w:r/>
    </w:p>
    <w:p>
      <w:pPr>
        <w:pStyle w:val="ListNumber"/>
        <w:numPr>
          <w:ilvl w:val="0"/>
          <w:numId w:val="13"/>
        </w:numPr>
        <w:spacing w:after="0" w:line="240" w:lineRule="auto"/>
      </w:pPr>
      <w:r/>
      <w:r>
        <w:rPr>
          <w:b/>
        </w:rPr>
        <w:t>Equity incentives.</w:t>
      </w:r>
      <w:r>
        <w:t xml:space="preserve"> You want to issue stock options to employees and advisors. LLCs can issue profits interests and capital interests, but these are structurally more complex, less understood by recipients, and require K-1 issuance to every holder. A C-corp can issue ISOs (with favorable tax treatment for employees) and NSOs cleanly under a standard equity incentive plan.</w:t>
      </w:r>
      <w:r/>
      <w:r/>
    </w:p>
    <w:p>
      <w:pPr>
        <w:pStyle w:val="ListNumber"/>
        <w:numPr>
          <w:ilvl w:val="0"/>
          <w:numId w:val="13"/>
        </w:numPr>
        <w:spacing w:after="0" w:line="240" w:lineRule="auto"/>
      </w:pPr>
      <w:r/>
      <w:r>
        <w:rPr>
          <w:b/>
        </w:rPr>
        <w:t>QSBS eligibility.</w:t>
      </w:r>
      <w:r>
        <w:t xml:space="preserve"> IRC §1202 qualified small business stock exclusion (up to $10M or 10x basis in capital gains excluded) is available only for C-corporation stock. This is one of the most valuable tax provisions available to founders. The LLC structure categorically disqualifies you.</w:t>
      </w:r>
      <w:r/>
      <w:r/>
    </w:p>
    <w:p>
      <w:pPr>
        <w:pStyle w:val="ListNumber"/>
        <w:numPr>
          <w:ilvl w:val="0"/>
          <w:numId w:val="13"/>
        </w:numPr>
        <w:spacing w:after="0" w:line="240" w:lineRule="auto"/>
      </w:pPr>
      <w:r/>
      <w:r>
        <w:rPr>
          <w:b/>
        </w:rPr>
        <w:t>Standard instruments.</w:t>
      </w:r>
      <w:r>
        <w:t xml:space="preserve"> SAFEs, convertible notes, and priced equity rounds are all designed for C-corps. Using them with an LLC requires custom drafting and creates investor friction.</w:t>
      </w:r>
      <w:r/>
      <w:r/>
    </w:p>
    <w:p>
      <w:pPr>
        <w:pStyle w:val="ListNumber"/>
        <w:numPr>
          <w:ilvl w:val="0"/>
          <w:numId w:val="13"/>
        </w:numPr>
        <w:spacing w:after="0" w:line="240" w:lineRule="auto"/>
      </w:pPr>
      <w:r/>
      <w:r>
        <w:rPr>
          <w:b/>
        </w:rPr>
        <w:t>Cost comparison.</w:t>
      </w:r>
      <w:r>
        <w:t xml:space="preserve"> Your upfront costs are comparable or lower for the C-corp path once you account for avoiding the $395 publication requirement that applies only to New York LLCs. The ongoing Delaware franchise tax ($225/year minimum for a startup at your stage) is modest.</w:t>
      </w:r>
      <w:r/>
      <w:r/>
      <w:r/>
    </w:p>
    <w:p>
      <w:pPr/>
      <w:r>
        <w:rPr>
          <w:b/>
        </w:rPr>
        <w:t>Is there anything favoring the LLC?</w:t>
      </w:r>
      <w:r>
        <w:t xml:space="preserve"> Only one thing: pass-through taxation. An LLC taxed as a partnership passes losses through to members, which can offset other income on their personal returns. Early-stage companies often generate losses, and Sanoj will have W-2 income from Seward &amp; Kissel starting October 2026. However, this benefit is marginal relative to the structural advantages of the C-corp, and a C-corp can make an S-election if pass-through treatment is truly desired (though S-corps have their own limitations and are incompatible with VC investment). On balance, the C-corp is the correct choice.</w:t>
      </w:r>
      <w:r/>
    </w:p>
    <w:p>
      <w:pPr>
        <w:pStyle w:val="Heading2"/>
      </w:pPr>
      <w:r>
        <w:t>Question 3: What Happens to the Signed Agreements</w:t>
      </w:r>
      <w:r/>
    </w:p>
    <w:p>
      <w:bookmarkStart w:id="0" w:name="cite-2535354d-2349-4e78-bc04-36a96e1d66ed"/>
      <w:pPr/>
      <w:r>
        <w:t xml:space="preserve">This is the cleanest part of your situation. The Operating Agreement expressly states it "becomes effective upon the Company's formation under the laws of the State of New York". </w:t>
      </w:r>
      <w:bookmarkEnd w:id="0"/>
      <w:hyperlink w:anchor="ref-2535354d-2349-4e78-bc04-36a96e1d66ed">
        <w:r>
          <w:rPr>
            <w:color w:val="0000EE"/>
            <w:u w:val="single"/>
          </w:rPr>
          <w:t>[1]</w:t>
        </w:r>
      </w:hyperlink>
      <w:r>
        <w:t xml:space="preserve"> No entity has been formed — no Articles of Organization have been filed. The agreement is a signed contract, but its operative provisions (membership interests, management authority, allocations) are conditioned on an event that has not occurred and, under Path B, never will occur.</w:t>
      </w:r>
      <w:r/>
    </w:p>
    <w:p>
      <w:bookmarkStart w:id="1" w:name="cite-3b0dfda5-c5e6-4378-83ad-c99f39402972"/>
      <w:pPr/>
      <w:r>
        <w:rPr>
          <w:b/>
        </w:rPr>
        <w:t>The agreements are not void</w:t>
      </w:r>
      <w:r>
        <w:t xml:space="preserve"> — they are valid contracts between two individuals that contemplated a specific entity structure. They are best understood as </w:t>
      </w:r>
      <w:r>
        <w:rPr>
          <w:b/>
        </w:rPr>
        <w:t>inapplicable and superseded</w:t>
      </w:r>
      <w:r>
        <w:t xml:space="preserve"> once you form a different entity and execute replacement documents. The Miscellaneous section provides that the agreement "constitutes the entire agreement among the Parties with respect to the subject matter hereof and supersedes prior discussions". </w:t>
      </w:r>
      <w:bookmarkEnd w:id="1"/>
      <w:hyperlink w:anchor="ref-3b0dfda5-c5e6-4378-83ad-c99f39402972">
        <w:r>
          <w:rPr>
            <w:color w:val="0000EE"/>
            <w:u w:val="single"/>
          </w:rPr>
          <w:t>[2]</w:t>
        </w:r>
      </w:hyperlink>
      <w:r>
        <w:t xml:space="preserve"> Your replacement documents should include a reciprocal supersession clause that expressly terminates the Operating Agreement and the IP Assignment Agreement.</w:t>
      </w:r>
      <w:r/>
    </w:p>
    <w:p>
      <w:pPr>
        <w:pStyle w:val="Heading3"/>
      </w:pPr>
      <w:r>
        <w:t>Replacement Documents Needed</w:t>
      </w:r>
      <w:r/>
    </w:p>
    <w:p>
      <w:pPr/>
      <w:r>
        <w:t>You need the following for the Delaware C-corp:</w:t>
      </w:r>
      <w:r/>
    </w:p>
    <w:tbl>
      <w:tblPr>
        <w:tblW w:type="auto" w:w="0"/>
        <w:tblLook w:firstColumn="1" w:firstRow="1" w:lastColumn="0" w:lastRow="0" w:noHBand="0" w:noVBand="1" w:val="04A0"/>
      </w:tblPr>
      <w:tblGrid>
        <w:gridCol w:w="3120"/>
        <w:gridCol w:w="3120"/>
        <w:gridCol w:w="3120"/>
      </w:tblGrid>
      <w:tr>
        <w:tc>
          <w:tcPr>
            <w:tcW w:type="dxa" w:w="3120"/>
            <w:shd w:fill="D3D3D3"/>
            <w:tcBorders>
              <w:top w:val="single" w:sz="12.0" w:color="000000"/>
              <w:right w:val="single" w:sz="12.0" w:color="000000"/>
              <w:bottom w:val="single" w:sz="12.0" w:color="000000"/>
              <w:left w:val="single" w:sz="12.0" w:color="000000"/>
            </w:tcBorders>
          </w:tcPr>
          <w:p>
            <w:r>
              <w:rPr>
                <w:b/>
              </w:rPr>
              <w:t>Document</w:t>
            </w:r>
          </w:p>
        </w:tc>
        <w:tc>
          <w:tcPr>
            <w:tcW w:type="dxa" w:w="3120"/>
            <w:shd w:fill="D3D3D3"/>
            <w:tcBorders>
              <w:top w:val="single" w:sz="12.0" w:color="000000"/>
              <w:right w:val="single" w:sz="12.0" w:color="000000"/>
              <w:bottom w:val="single" w:sz="12.0" w:color="000000"/>
              <w:left w:val="single" w:sz="12.0" w:color="000000"/>
            </w:tcBorders>
          </w:tcPr>
          <w:p>
            <w:r>
              <w:rPr>
                <w:b/>
              </w:rPr>
              <w:t>Replaces</w:t>
            </w:r>
          </w:p>
        </w:tc>
        <w:tc>
          <w:tcPr>
            <w:tcW w:type="dxa" w:w="3120"/>
            <w:shd w:fill="D3D3D3"/>
            <w:tcBorders>
              <w:top w:val="single" w:sz="12.0" w:color="000000"/>
              <w:right w:val="single" w:sz="12.0" w:color="000000"/>
              <w:bottom w:val="single" w:sz="12.0" w:color="000000"/>
              <w:left w:val="single" w:sz="12.0" w:color="000000"/>
            </w:tcBorders>
          </w:tcPr>
          <w:p>
            <w:r>
              <w:rPr>
                <w:b/>
              </w:rPr>
              <w:t>Purpose</w:t>
            </w:r>
          </w:p>
        </w:tc>
      </w:tr>
      <w:tr>
        <w:tc>
          <w:tcPr>
            <w:tcW w:type="dxa" w:w="3120"/>
            <w:tcBorders>
              <w:top w:val="single" w:sz="12.0" w:color="000000"/>
              <w:right w:val="single" w:sz="12.0" w:color="000000"/>
              <w:bottom w:val="single" w:sz="12.0" w:color="000000"/>
              <w:left w:val="single" w:sz="12.0" w:color="000000"/>
            </w:tcBorders>
          </w:tcPr>
          <w:p>
            <w:pPr>
              <w:jc w:val="center"/>
            </w:pPr>
            <w:r>
              <w:rPr>
                <w:b/>
              </w:rPr>
              <w:t>Certificate of Incorporation</w:t>
            </w:r>
          </w:p>
        </w:tc>
        <w:tc>
          <w:tcPr>
            <w:tcW w:type="dxa" w:w="3120"/>
            <w:tcBorders>
              <w:top w:val="single" w:sz="12.0" w:color="000000"/>
              <w:right w:val="single" w:sz="12.0" w:color="000000"/>
              <w:bottom w:val="single" w:sz="12.0" w:color="000000"/>
              <w:left w:val="single" w:sz="12.0" w:color="000000"/>
            </w:tcBorders>
          </w:tcPr>
          <w:p>
            <w:pPr>
              <w:jc w:val="center"/>
            </w:pPr>
            <w:r>
              <w:t>Articles of Organization (never filed)</w:t>
            </w:r>
          </w:p>
        </w:tc>
        <w:tc>
          <w:tcPr>
            <w:tcW w:type="dxa" w:w="3120"/>
            <w:tcBorders>
              <w:top w:val="single" w:sz="12.0" w:color="000000"/>
              <w:right w:val="single" w:sz="12.0" w:color="000000"/>
              <w:bottom w:val="single" w:sz="12.0" w:color="000000"/>
              <w:left w:val="single" w:sz="12.0" w:color="000000"/>
            </w:tcBorders>
          </w:tcPr>
          <w:p>
            <w:pPr>
              <w:jc w:val="center"/>
            </w:pPr>
            <w:r>
              <w:t>Filed with the Delaware Secretary of State; establishes the corporation, authorizes shares, includes standard protective provisions</w:t>
            </w:r>
          </w:p>
        </w:tc>
      </w:tr>
      <w:tr>
        <w:tc>
          <w:tcPr>
            <w:tcW w:type="dxa" w:w="3120"/>
            <w:tcBorders>
              <w:top w:val="single" w:sz="12.0" w:color="000000"/>
              <w:right w:val="single" w:sz="12.0" w:color="000000"/>
              <w:bottom w:val="single" w:sz="12.0" w:color="000000"/>
              <w:left w:val="single" w:sz="12.0" w:color="000000"/>
            </w:tcBorders>
          </w:tcPr>
          <w:p>
            <w:pPr>
              <w:jc w:val="center"/>
            </w:pPr>
            <w:r>
              <w:rPr>
                <w:b/>
              </w:rPr>
              <w:t>Bylaws</w:t>
            </w:r>
          </w:p>
        </w:tc>
        <w:tc>
          <w:tcPr>
            <w:tcW w:type="dxa" w:w="3120"/>
            <w:tcBorders>
              <w:top w:val="single" w:sz="12.0" w:color="000000"/>
              <w:right w:val="single" w:sz="12.0" w:color="000000"/>
              <w:bottom w:val="single" w:sz="12.0" w:color="000000"/>
              <w:left w:val="single" w:sz="12.0" w:color="000000"/>
            </w:tcBorders>
          </w:tcPr>
          <w:p>
            <w:pPr>
              <w:jc w:val="center"/>
            </w:pPr>
            <w:r>
              <w:t>Operating Agreement (governance provisions)</w:t>
            </w:r>
          </w:p>
        </w:tc>
        <w:tc>
          <w:tcPr>
            <w:tcW w:type="dxa" w:w="3120"/>
            <w:tcBorders>
              <w:top w:val="single" w:sz="12.0" w:color="000000"/>
              <w:right w:val="single" w:sz="12.0" w:color="000000"/>
              <w:bottom w:val="single" w:sz="12.0" w:color="000000"/>
              <w:left w:val="single" w:sz="12.0" w:color="000000"/>
            </w:tcBorders>
          </w:tcPr>
          <w:p>
            <w:pPr>
              <w:jc w:val="center"/>
            </w:pPr>
            <w:r>
              <w:t>Internal governance: board composition, officer roles, meeting procedures, indemnification</w:t>
            </w:r>
          </w:p>
        </w:tc>
      </w:tr>
      <w:tr>
        <w:tc>
          <w:tcPr>
            <w:tcW w:type="dxa" w:w="3120"/>
            <w:tcBorders>
              <w:top w:val="single" w:sz="12.0" w:color="000000"/>
              <w:right w:val="single" w:sz="12.0" w:color="000000"/>
              <w:bottom w:val="single" w:sz="12.0" w:color="000000"/>
              <w:left w:val="single" w:sz="12.0" w:color="000000"/>
            </w:tcBorders>
          </w:tcPr>
          <w:p>
            <w:pPr>
              <w:jc w:val="center"/>
            </w:pPr>
            <w:r>
              <w:rPr>
                <w:b/>
              </w:rPr>
              <w:t>Founders' Restricted Stock Purchase Agreements</w:t>
            </w:r>
            <w:r>
              <w:t xml:space="preserve"> (one per founder)</w:t>
            </w:r>
          </w:p>
        </w:tc>
        <w:tc>
          <w:tcPr>
            <w:tcW w:type="dxa" w:w="3120"/>
            <w:tcBorders>
              <w:top w:val="single" w:sz="12.0" w:color="000000"/>
              <w:right w:val="single" w:sz="12.0" w:color="000000"/>
              <w:bottom w:val="single" w:sz="12.0" w:color="000000"/>
              <w:left w:val="single" w:sz="12.0" w:color="000000"/>
            </w:tcBorders>
          </w:tcPr>
          <w:p>
            <w:pPr>
              <w:jc w:val="center"/>
            </w:pPr>
            <w:bookmarkStart w:id="1" w:name="cite-6da9d47e-6b35-4555-b228-f82baffac55d"/>
            <w:bookmarkStart w:id="0" w:name="cite-ef003619-45e0-458d-89c0-a6300d622624"/>
            <w:r>
              <w:t xml:space="preserve">Operating Agreement (economic provisions) — replaces the membership interest structure </w:t>
            </w:r>
            <w:bookmarkEnd w:id="0"/>
            <w:hyperlink w:anchor="ref-ef003619-45e0-458d-89c0-a6300d622624">
              <w:r>
                <w:rPr>
                  <w:color w:val="0000EE"/>
                  <w:u w:val="single"/>
                </w:rPr>
                <w:t>[3]</w:t>
              </w:r>
            </w:hyperlink>
            <w:r>
              <w:t xml:space="preserve"> </w:t>
            </w:r>
            <w:bookmarkEnd w:id="1"/>
            <w:hyperlink w:anchor="ref-6da9d47e-6b35-4555-b228-f82baffac55d">
              <w:r>
                <w:rPr>
                  <w:color w:val="0000EE"/>
                  <w:u w:val="single"/>
                </w:rPr>
                <w:t>[4]</w:t>
              </w:r>
            </w:hyperlink>
          </w:p>
        </w:tc>
        <w:tc>
          <w:tcPr>
            <w:tcW w:type="dxa" w:w="3120"/>
            <w:tcBorders>
              <w:top w:val="single" w:sz="12.0" w:color="000000"/>
              <w:right w:val="single" w:sz="12.0" w:color="000000"/>
              <w:bottom w:val="single" w:sz="12.0" w:color="000000"/>
              <w:left w:val="single" w:sz="12.0" w:color="000000"/>
            </w:tcBorders>
          </w:tcPr>
          <w:p>
            <w:pPr>
              <w:jc w:val="center"/>
            </w:pPr>
            <w:r>
              <w:t>Each founder purchases shares; includes vesting schedule, repurchase rights, transfer restrictions</w:t>
            </w:r>
          </w:p>
        </w:tc>
      </w:tr>
      <w:tr>
        <w:tc>
          <w:tcPr>
            <w:tcW w:type="dxa" w:w="3120"/>
            <w:tcBorders>
              <w:top w:val="single" w:sz="12.0" w:color="000000"/>
              <w:right w:val="single" w:sz="12.0" w:color="000000"/>
              <w:bottom w:val="single" w:sz="12.0" w:color="000000"/>
              <w:left w:val="single" w:sz="12.0" w:color="000000"/>
            </w:tcBorders>
          </w:tcPr>
          <w:p>
            <w:pPr>
              <w:jc w:val="center"/>
            </w:pPr>
            <w:r>
              <w:rPr>
                <w:b/>
              </w:rPr>
              <w:t>IP Assignment Agreement (new)</w:t>
            </w:r>
          </w:p>
        </w:tc>
        <w:tc>
          <w:tcPr>
            <w:tcW w:type="dxa" w:w="3120"/>
            <w:tcBorders>
              <w:top w:val="single" w:sz="12.0" w:color="000000"/>
              <w:right w:val="single" w:sz="12.0" w:color="000000"/>
              <w:bottom w:val="single" w:sz="12.0" w:color="000000"/>
              <w:left w:val="single" w:sz="12.0" w:color="000000"/>
            </w:tcBorders>
          </w:tcPr>
          <w:p>
            <w:pPr>
              <w:jc w:val="center"/>
            </w:pPr>
            <w:bookmarkStart w:id="0" w:name="cite-6f33d125-23c7-431d-8d3c-34002a6c07ff"/>
            <w:r>
              <w:t xml:space="preserve">IP Assignment Agreement (to non-existent LLC) </w:t>
            </w:r>
            <w:bookmarkEnd w:id="0"/>
            <w:hyperlink w:anchor="ref-6f33d125-23c7-431d-8d3c-34002a6c07ff">
              <w:r>
                <w:rPr>
                  <w:color w:val="0000EE"/>
                  <w:u w:val="single"/>
                </w:rPr>
                <w:t>[5]</w:t>
              </w:r>
            </w:hyperlink>
          </w:p>
        </w:tc>
        <w:tc>
          <w:tcPr>
            <w:tcW w:type="dxa" w:w="3120"/>
            <w:tcBorders>
              <w:top w:val="single" w:sz="12.0" w:color="000000"/>
              <w:right w:val="single" w:sz="12.0" w:color="000000"/>
              <w:bottom w:val="single" w:sz="12.0" w:color="000000"/>
              <w:left w:val="single" w:sz="12.0" w:color="000000"/>
            </w:tcBorders>
          </w:tcPr>
          <w:p>
            <w:pPr>
              <w:jc w:val="center"/>
            </w:pPr>
            <w:bookmarkStart w:id="0" w:name="cite-866e167d-0c59-4ff6-b527-91bd17ab4135"/>
            <w:r>
              <w:t xml:space="preserve">Sanoj assigns all SHEP IP to the C-corp; must be in writing per 17 U.S.C. §204(a), which the original agreement correctly identified </w:t>
            </w:r>
            <w:bookmarkEnd w:id="0"/>
            <w:hyperlink w:anchor="ref-866e167d-0c59-4ff6-b527-91bd17ab4135">
              <w:r>
                <w:rPr>
                  <w:color w:val="0000EE"/>
                  <w:u w:val="single"/>
                </w:rPr>
                <w:t>[6]</w:t>
              </w:r>
            </w:hyperlink>
          </w:p>
        </w:tc>
      </w:tr>
      <w:tr>
        <w:tc>
          <w:tcPr>
            <w:tcW w:type="dxa" w:w="3120"/>
            <w:tcBorders>
              <w:top w:val="single" w:sz="12.0" w:color="000000"/>
              <w:right w:val="single" w:sz="12.0" w:color="000000"/>
              <w:bottom w:val="single" w:sz="12.0" w:color="000000"/>
              <w:left w:val="single" w:sz="12.0" w:color="000000"/>
            </w:tcBorders>
          </w:tcPr>
          <w:p>
            <w:pPr>
              <w:jc w:val="center"/>
            </w:pPr>
            <w:r>
              <w:rPr>
                <w:b/>
              </w:rPr>
              <w:t>Board Consent / Action by Incorporator</w:t>
            </w:r>
          </w:p>
        </w:tc>
        <w:tc>
          <w:tcPr>
            <w:tcW w:type="dxa" w:w="3120"/>
            <w:tcBorders>
              <w:top w:val="single" w:sz="12.0" w:color="000000"/>
              <w:right w:val="single" w:sz="12.0" w:color="000000"/>
              <w:bottom w:val="single" w:sz="12.0" w:color="000000"/>
              <w:left w:val="single" w:sz="12.0" w:color="000000"/>
            </w:tcBorders>
          </w:tcPr>
          <w:p>
            <w:pPr>
              <w:jc w:val="center"/>
            </w:pPr>
            <w:r>
              <w:t>N/A</w:t>
            </w:r>
          </w:p>
        </w:tc>
        <w:tc>
          <w:tcPr>
            <w:tcW w:type="dxa" w:w="3120"/>
            <w:tcBorders>
              <w:top w:val="single" w:sz="12.0" w:color="000000"/>
              <w:right w:val="single" w:sz="12.0" w:color="000000"/>
              <w:bottom w:val="single" w:sz="12.0" w:color="000000"/>
              <w:left w:val="single" w:sz="12.0" w:color="000000"/>
            </w:tcBorders>
          </w:tcPr>
          <w:p>
            <w:pPr>
              <w:jc w:val="center"/>
            </w:pPr>
            <w:r>
              <w:t>Initial board action authorizing share issuance, adopting bylaws, appointing officers, approving equity plan</w:t>
            </w:r>
          </w:p>
        </w:tc>
      </w:tr>
      <w:tr>
        <w:tc>
          <w:tcPr>
            <w:tcW w:type="dxa" w:w="3120"/>
            <w:tcBorders>
              <w:top w:val="single" w:sz="12.0" w:color="000000"/>
              <w:right w:val="single" w:sz="12.0" w:color="000000"/>
              <w:bottom w:val="single" w:sz="12.0" w:color="000000"/>
              <w:left w:val="single" w:sz="12.0" w:color="000000"/>
            </w:tcBorders>
          </w:tcPr>
          <w:p>
            <w:pPr>
              <w:jc w:val="center"/>
            </w:pPr>
            <w:r>
              <w:rPr>
                <w:b/>
              </w:rPr>
              <w:t>83(b) Elections</w:t>
            </w:r>
            <w:r>
              <w:t xml:space="preserve"> (one per founder)</w:t>
            </w:r>
          </w:p>
        </w:tc>
        <w:tc>
          <w:tcPr>
            <w:tcW w:type="dxa" w:w="3120"/>
            <w:tcBorders>
              <w:top w:val="single" w:sz="12.0" w:color="000000"/>
              <w:right w:val="single" w:sz="12.0" w:color="000000"/>
              <w:bottom w:val="single" w:sz="12.0" w:color="000000"/>
              <w:left w:val="single" w:sz="12.0" w:color="000000"/>
            </w:tcBorders>
          </w:tcPr>
          <w:p>
            <w:pPr>
              <w:jc w:val="center"/>
            </w:pPr>
            <w:r>
              <w:t>N/A</w:t>
            </w:r>
          </w:p>
        </w:tc>
        <w:tc>
          <w:tcPr>
            <w:tcW w:type="dxa" w:w="3120"/>
            <w:tcBorders>
              <w:top w:val="single" w:sz="12.0" w:color="000000"/>
              <w:right w:val="single" w:sz="12.0" w:color="000000"/>
              <w:bottom w:val="single" w:sz="12.0" w:color="000000"/>
              <w:left w:val="single" w:sz="12.0" w:color="000000"/>
            </w:tcBorders>
          </w:tcPr>
          <w:p>
            <w:pPr>
              <w:jc w:val="center"/>
            </w:pPr>
            <w:r>
              <w:t>Filed with IRS within 30 days of restricted stock purchase</w:t>
            </w:r>
          </w:p>
        </w:tc>
      </w:tr>
      <w:tr>
        <w:tc>
          <w:tcPr>
            <w:tcW w:type="dxa" w:w="3120"/>
            <w:tcBorders>
              <w:top w:val="single" w:sz="12.0" w:color="000000"/>
              <w:right w:val="single" w:sz="12.0" w:color="000000"/>
              <w:bottom w:val="single" w:sz="12.0" w:color="000000"/>
              <w:left w:val="single" w:sz="12.0" w:color="000000"/>
            </w:tcBorders>
          </w:tcPr>
          <w:p>
            <w:pPr>
              <w:jc w:val="center"/>
            </w:pPr>
            <w:r>
              <w:rPr>
                <w:b/>
              </w:rPr>
              <w:t>Mutual Termination Agreement</w:t>
            </w:r>
          </w:p>
        </w:tc>
        <w:tc>
          <w:tcPr>
            <w:tcW w:type="dxa" w:w="3120"/>
            <w:tcBorders>
              <w:top w:val="single" w:sz="12.0" w:color="000000"/>
              <w:right w:val="single" w:sz="12.0" w:color="000000"/>
              <w:bottom w:val="single" w:sz="12.0" w:color="000000"/>
              <w:left w:val="single" w:sz="12.0" w:color="000000"/>
            </w:tcBorders>
          </w:tcPr>
          <w:p>
            <w:pPr>
              <w:jc w:val="center"/>
            </w:pPr>
            <w:r>
              <w:t>N/A</w:t>
            </w:r>
          </w:p>
        </w:tc>
        <w:tc>
          <w:tcPr>
            <w:tcW w:type="dxa" w:w="3120"/>
            <w:tcBorders>
              <w:top w:val="single" w:sz="12.0" w:color="000000"/>
              <w:right w:val="single" w:sz="12.0" w:color="000000"/>
              <w:bottom w:val="single" w:sz="12.0" w:color="000000"/>
              <w:left w:val="single" w:sz="12.0" w:color="000000"/>
            </w:tcBorders>
          </w:tcPr>
          <w:p>
            <w:pPr>
              <w:jc w:val="center"/>
            </w:pPr>
            <w:r>
              <w:t>Expressly terminates the Operating Agreement and original IP Assignment; includes mutual release</w:t>
            </w:r>
          </w:p>
        </w:tc>
      </w:tr>
      <w:tr>
        <w:tc>
          <w:tcPr>
            <w:tcW w:type="dxa" w:w="3120"/>
            <w:tcBorders>
              <w:top w:val="single" w:sz="12.0" w:color="000000"/>
              <w:right w:val="single" w:sz="12.0" w:color="000000"/>
              <w:bottom w:val="single" w:sz="12.0" w:color="000000"/>
              <w:left w:val="single" w:sz="12.0" w:color="000000"/>
            </w:tcBorders>
          </w:tcPr>
          <w:p>
            <w:pPr>
              <w:jc w:val="center"/>
            </w:pPr>
            <w:r>
              <w:rPr>
                <w:b/>
              </w:rPr>
              <w:t>Confidentiality and IP Assignment Agreement (CIIAA)</w:t>
            </w:r>
            <w:r>
              <w:t xml:space="preserve"> for Will</w:t>
            </w:r>
          </w:p>
        </w:tc>
        <w:tc>
          <w:tcPr>
            <w:tcW w:type="dxa" w:w="3120"/>
            <w:tcBorders>
              <w:top w:val="single" w:sz="12.0" w:color="000000"/>
              <w:right w:val="single" w:sz="12.0" w:color="000000"/>
              <w:bottom w:val="single" w:sz="12.0" w:color="000000"/>
              <w:left w:val="single" w:sz="12.0" w:color="000000"/>
            </w:tcBorders>
          </w:tcPr>
          <w:p>
            <w:pPr>
              <w:jc w:val="center"/>
            </w:pPr>
            <w:bookmarkStart w:id="0" w:name="cite-c5c62775-4846-49bc-8a2b-556c6e623dc5"/>
            <w:r>
              <w:t xml:space="preserve">Section 7.2 of Operating Agreement </w:t>
            </w:r>
            <w:bookmarkEnd w:id="0"/>
            <w:hyperlink w:anchor="ref-c5c62775-4846-49bc-8a2b-556c6e623dc5">
              <w:r>
                <w:rPr>
                  <w:color w:val="0000EE"/>
                  <w:u w:val="single"/>
                </w:rPr>
                <w:t>[7]</w:t>
              </w:r>
            </w:hyperlink>
          </w:p>
        </w:tc>
        <w:tc>
          <w:tcPr>
            <w:tcW w:type="dxa" w:w="3120"/>
            <w:tcBorders>
              <w:top w:val="single" w:sz="12.0" w:color="000000"/>
              <w:right w:val="single" w:sz="12.0" w:color="000000"/>
              <w:bottom w:val="single" w:sz="12.0" w:color="000000"/>
              <w:left w:val="single" w:sz="12.0" w:color="000000"/>
            </w:tcBorders>
          </w:tcPr>
          <w:p>
            <w:pPr>
              <w:jc w:val="center"/>
            </w:pPr>
            <w:r>
              <w:t>Standard form for any contributor to a C-corp; assigns work product, confirms no use of employer resources</w:t>
            </w:r>
          </w:p>
        </w:tc>
      </w:tr>
    </w:tbl>
    <w:p>
      <w:r/>
    </w:p>
    <w:p>
      <w:bookmarkStart w:id="3" w:name="cite-db2c75f0-7f01-4e28-b3da-a7a1c9cd8b2e"/>
      <w:bookmarkStart w:id="2" w:name="cite-6f33d125-23c7-431d-8d3c-34002a6c07ff"/>
      <w:pPr/>
      <w:r>
        <w:rPr>
          <w:b/>
        </w:rPr>
        <w:t>On the IP Assignment specifically:</w:t>
      </w:r>
      <w:r>
        <w:t xml:space="preserve"> Yes, Sanoj must execute a new IP assignment to the C-corporation. The original assignment was to "the Company" defined as the LLC. </w:t>
      </w:r>
      <w:bookmarkEnd w:id="2"/>
      <w:hyperlink w:anchor="ref-6f33d125-23c7-431d-8d3c-34002a6c07ff">
        <w:r>
          <w:rPr>
            <w:color w:val="0000EE"/>
            <w:u w:val="single"/>
          </w:rPr>
          <w:t>[5]</w:t>
        </w:r>
      </w:hyperlink>
      <w:r>
        <w:t xml:space="preserve"> That entity does not exist. The new assignment should be a Technology Assignment Agreement from Sanoj Allen individually to [SHEP Corp Name], Inc., a Delaware corporation, covering all SHEP-related IP — code, designs, brand, content, and any improvements. The original agreement's language regarding copyright transfer under 17 U.S.C. §204(a) was correctly drafted and should be replicated. </w:t>
      </w:r>
      <w:bookmarkEnd w:id="3"/>
      <w:hyperlink w:anchor="ref-db2c75f0-7f01-4e28-b3da-a7a1c9cd8b2e">
        <w:r>
          <w:rPr>
            <w:color w:val="0000EE"/>
            <w:u w:val="single"/>
          </w:rPr>
          <w:t>[8]</w:t>
        </w:r>
      </w:hyperlink>
      <w:r/>
    </w:p>
    <w:p>
      <w:pPr>
        <w:pStyle w:val="Heading2"/>
      </w:pPr>
      <w:r>
        <w:t>Question 4: Founder Equity Structure in the C-Corp</w:t>
      </w:r>
      <w:r/>
    </w:p>
    <w:p>
      <w:pPr/>
      <w:r>
        <w:t>The standard approach for a two-founder Delaware C-corp is to authorize a large number of shares of common stock (typically 10,000,000 shares) and issue them at a nominal price — par value of $0.0001 per share is standard. This keeps the initial valuation low, which matters for 83(b) elections and for QSBS basis calculations.</w:t>
      </w:r>
      <w:r/>
    </w:p>
    <w:p>
      <w:bookmarkStart w:id="4" w:name="cite-2a5446bf-577d-4d2c-8e5b-d55c35098bcb"/>
      <w:pPr/>
      <w:r>
        <w:t xml:space="preserve">For the 75/25 split reflected in your Operating Agreement: </w:t>
      </w:r>
      <w:bookmarkEnd w:id="4"/>
      <w:hyperlink w:anchor="ref-2a5446bf-577d-4d2c-8e5b-d55c35098bcb">
        <w:r>
          <w:rPr>
            <w:color w:val="0000EE"/>
            <w:u w:val="single"/>
          </w:rPr>
          <w:t>[9]</w:t>
        </w:r>
      </w:hyperlink>
      <w:r/>
      <w:r/>
    </w:p>
    <w:p>
      <w:pPr>
        <w:pStyle w:val="ListBullet"/>
      </w:pPr>
      <w:r>
        <w:rPr>
          <w:b/>
        </w:rPr>
        <w:t>Sanoj:</w:t>
      </w:r>
      <w:r>
        <w:t xml:space="preserve"> 7,500,000 shares at $0.0001/share = $750 purchase price, paid in exchange for the assignment of all SHEP IP plus past and ongoing services (sweat equity). The IP assignment is the primary consideration.</w:t>
      </w:r>
      <w:r/>
    </w:p>
    <w:p>
      <w:pPr>
        <w:pStyle w:val="ListBullet"/>
      </w:pPr>
      <w:r>
        <w:rPr>
          <w:b/>
        </w:rPr>
        <w:t>Will:</w:t>
      </w:r>
      <w:r>
        <w:t xml:space="preserve"> 2,500,000 shares at $0.0001/share = $250 purchase price, paid in cash.</w:t>
      </w:r>
      <w:r/>
      <w:r/>
    </w:p>
    <w:p>
      <w:bookmarkStart w:id="5" w:name="cite-2c3a3ab1-8e38-46b0-a0d4-2ab5f94c8b9b"/>
      <w:pPr/>
      <w:r>
        <w:rPr>
          <w:b/>
        </w:rPr>
        <w:t>What about Will's $3,500?</w:t>
      </w:r>
      <w:r>
        <w:t xml:space="preserve"> Under the LLC structure, the $3,500 was the Initial Contribution triggering his 25% membership interest. </w:t>
      </w:r>
      <w:bookmarkEnd w:id="5"/>
      <w:hyperlink w:anchor="ref-2c3a3ab1-8e38-46b0-a0d4-2ab5f94c8b9b">
        <w:r>
          <w:rPr>
            <w:color w:val="0000EE"/>
            <w:u w:val="single"/>
          </w:rPr>
          <w:t>[10]</w:t>
        </w:r>
      </w:hyperlink>
      <w:r>
        <w:t xml:space="preserve"> In the C-corp context, you should not price Will's shares at $3,500 for 25% — that would imply a company valuation of $14,000, which is fine economically but creates an unnecessary mismatch with Sanoj's share price. The cleaner approach is:</w:t>
      </w:r>
      <w:r/>
      <w:r/>
    </w:p>
    <w:p>
      <w:pPr>
        <w:pStyle w:val="ListBullet"/>
      </w:pPr>
      <w:r>
        <w:t>Will purchases his 2,500,000 shares at par ($250 total).</w:t>
      </w:r>
      <w:r/>
    </w:p>
    <w:p>
      <w:bookmarkStart w:id="6" w:name="cite-fd29adb0-e494-4d8d-9fbe-1213969fdb88"/>
      <w:pPr>
        <w:pStyle w:val="ListBullet"/>
      </w:pPr>
      <w:r>
        <w:t xml:space="preserve">The remaining $3,250 of his $3,500 commitment is treated as a separate capital contribution or, more practically, as an advance toward operating expenses (which it functionally is, given that the Deal Memo describes it as covering "NCBE content licensing, LLC formation costs, and other startup expenses"). </w:t>
      </w:r>
      <w:bookmarkEnd w:id="6"/>
      <w:hyperlink w:anchor="ref-fd29adb0-e494-4d8d-9fbe-1213969fdb88">
        <w:r>
          <w:rPr>
            <w:color w:val="0000EE"/>
            <w:u w:val="single"/>
          </w:rPr>
          <w:t>[11]</w:t>
        </w:r>
      </w:hyperlink>
      <w:r>
        <w:t xml:space="preserve"> This can be documented as a short promissory note from the company, repayable at the board's discretion, or simply as a capital contribution with a board resolution acknowledging it.</w:t>
      </w:r>
      <w:r/>
      <w:r/>
    </w:p>
    <w:p>
      <w:pPr/>
      <w:r>
        <w:t>This structure keeps both founders' share prices at the same par value — which is important for avoiding any argument that Will overpaid or that Sanoj received a bargain, and it simplifies 409A valuation issues down the road.</w:t>
      </w:r>
      <w:r/>
    </w:p>
    <w:p>
      <w:pPr>
        <w:pStyle w:val="Heading2"/>
      </w:pPr>
      <w:r>
        <w:t>Question 5: Vesting</w:t>
      </w:r>
      <w:r/>
    </w:p>
    <w:p>
      <w:pPr/>
      <w:r>
        <w:rPr>
          <w:b/>
        </w:rPr>
        <w:t>Yes, I strongly recommend vesting for both founders.</w:t>
      </w:r>
      <w:r>
        <w:t xml:space="preserve"> Here is why and how:</w:t>
      </w:r>
      <w:r/>
    </w:p>
    <w:p>
      <w:bookmarkStart w:id="7" w:name="cite-f341334f-bc40-4ad3-95b8-b877d998ed0c"/>
      <w:pPr/>
      <w:r>
        <w:rPr>
          <w:b/>
        </w:rPr>
        <w:t>Why vesting matters even between co-founders:</w:t>
      </w:r>
      <w:r>
        <w:t xml:space="preserve"> If either founder leaves early, vesting ensures unvested shares can be repurchased at cost (i.e., par value), protecting the remaining founder from a departed co-founder holding a large equity stake without ongoing contribution. Your Operating Agreement attempted to address this with the "Disengagement Event" concept — a 60-day cessation of participation triggers a buyout at fair market value. </w:t>
      </w:r>
      <w:bookmarkEnd w:id="7"/>
      <w:hyperlink w:anchor="ref-f341334f-bc40-4ad3-95b8-b877d998ed0c">
        <w:r>
          <w:rPr>
            <w:color w:val="0000EE"/>
            <w:u w:val="single"/>
          </w:rPr>
          <w:t>[12]</w:t>
        </w:r>
      </w:hyperlink>
      <w:r>
        <w:t xml:space="preserve"> Vesting is the C-corp equivalent but is cleaner, more predictable, and expected by future investors. Virtually every VC will require founder vesting as a condition of investment; if you don't implement it now, they will impose it later on less favorable terms.</w:t>
      </w:r>
      <w:r/>
    </w:p>
    <w:p>
      <w:pPr/>
      <w:r>
        <w:rPr>
          <w:b/>
        </w:rPr>
        <w:t>Recommended structure:</w:t>
      </w:r>
      <w:r/>
    </w:p>
    <w:tbl>
      <w:tblPr>
        <w:tblW w:type="auto" w:w="0"/>
        <w:tblLook w:firstColumn="1" w:firstRow="1" w:lastColumn="0" w:lastRow="0" w:noHBand="0" w:noVBand="1" w:val="04A0"/>
      </w:tblPr>
      <w:tblGrid>
        <w:gridCol w:w="3120"/>
        <w:gridCol w:w="3120"/>
        <w:gridCol w:w="3120"/>
      </w:tblGrid>
      <w:tr>
        <w:tc>
          <w:tcPr>
            <w:tcW w:type="dxa" w:w="3120"/>
            <w:shd w:fill="D3D3D3"/>
            <w:tcBorders>
              <w:top w:val="single" w:sz="12.0" w:color="000000"/>
              <w:right w:val="single" w:sz="12.0" w:color="000000"/>
              <w:bottom w:val="single" w:sz="12.0" w:color="000000"/>
              <w:left w:val="single" w:sz="12.0" w:color="000000"/>
            </w:tcBorders>
          </w:tcPr>
          <w:p>
            <w:r>
              <w:rPr>
                <w:b/>
              </w:rPr>
              <w:t>Founder</w:t>
            </w:r>
          </w:p>
        </w:tc>
        <w:tc>
          <w:tcPr>
            <w:tcW w:type="dxa" w:w="3120"/>
            <w:shd w:fill="D3D3D3"/>
            <w:tcBorders>
              <w:top w:val="single" w:sz="12.0" w:color="000000"/>
              <w:right w:val="single" w:sz="12.0" w:color="000000"/>
              <w:bottom w:val="single" w:sz="12.0" w:color="000000"/>
              <w:left w:val="single" w:sz="12.0" w:color="000000"/>
            </w:tcBorders>
          </w:tcPr>
          <w:p>
            <w:r>
              <w:rPr>
                <w:b/>
              </w:rPr>
              <w:t>Vesting Schedule</w:t>
            </w:r>
          </w:p>
        </w:tc>
        <w:tc>
          <w:tcPr>
            <w:tcW w:type="dxa" w:w="3120"/>
            <w:shd w:fill="D3D3D3"/>
            <w:tcBorders>
              <w:top w:val="single" w:sz="12.0" w:color="000000"/>
              <w:right w:val="single" w:sz="12.0" w:color="000000"/>
              <w:bottom w:val="single" w:sz="12.0" w:color="000000"/>
              <w:left w:val="single" w:sz="12.0" w:color="000000"/>
            </w:tcBorders>
          </w:tcPr>
          <w:p>
            <w:r>
              <w:rPr>
                <w:b/>
              </w:rPr>
              <w:t>Rationale</w:t>
            </w:r>
          </w:p>
        </w:tc>
      </w:tr>
      <w:tr>
        <w:tc>
          <w:tcPr>
            <w:tcW w:type="dxa" w:w="3120"/>
            <w:tcBorders>
              <w:top w:val="single" w:sz="12.0" w:color="000000"/>
              <w:right w:val="single" w:sz="12.0" w:color="000000"/>
              <w:bottom w:val="single" w:sz="12.0" w:color="000000"/>
              <w:left w:val="single" w:sz="12.0" w:color="000000"/>
            </w:tcBorders>
          </w:tcPr>
          <w:p>
            <w:pPr>
              <w:jc w:val="center"/>
            </w:pPr>
            <w:r>
              <w:rPr>
                <w:b/>
              </w:rPr>
              <w:t>Sanoj (75%)</w:t>
            </w:r>
          </w:p>
        </w:tc>
        <w:tc>
          <w:tcPr>
            <w:tcW w:type="dxa" w:w="3120"/>
            <w:tcBorders>
              <w:top w:val="single" w:sz="12.0" w:color="000000"/>
              <w:right w:val="single" w:sz="12.0" w:color="000000"/>
              <w:bottom w:val="single" w:sz="12.0" w:color="000000"/>
              <w:left w:val="single" w:sz="12.0" w:color="000000"/>
            </w:tcBorders>
          </w:tcPr>
          <w:p>
            <w:pPr>
              <w:jc w:val="center"/>
            </w:pPr>
            <w:r>
              <w:t>4-year vesting, 1-year cliff, monthly thereafter. Credit 6–12 months of acceleration for pre-incorporation work on SHEP.</w:t>
            </w:r>
          </w:p>
        </w:tc>
        <w:tc>
          <w:tcPr>
            <w:tcW w:type="dxa" w:w="3120"/>
            <w:tcBorders>
              <w:top w:val="single" w:sz="12.0" w:color="000000"/>
              <w:right w:val="single" w:sz="12.0" w:color="000000"/>
              <w:bottom w:val="single" w:sz="12.0" w:color="000000"/>
              <w:left w:val="single" w:sz="12.0" w:color="000000"/>
            </w:tcBorders>
          </w:tcPr>
          <w:p>
            <w:pPr>
              <w:jc w:val="center"/>
            </w:pPr>
            <w:bookmarkStart w:id="0" w:name="cite-548a1c49-5367-4ed9-ad0d-a2a262a9ccce"/>
            <w:r>
              <w:t xml:space="preserve">Sanoj has been building SHEP full-time and owns all the IP. </w:t>
            </w:r>
            <w:bookmarkEnd w:id="0"/>
            <w:hyperlink w:anchor="ref-548a1c49-5367-4ed9-ad0d-a2a262a9ccce">
              <w:r>
                <w:rPr>
                  <w:color w:val="0000EE"/>
                  <w:u w:val="single"/>
                </w:rPr>
                <w:t>[13]</w:t>
              </w:r>
            </w:hyperlink>
            <w:r>
              <w:t xml:space="preserve"> A 6–12 month credit reflects his prior contribution. He returns to Seward &amp; Kissel in October 2026, so the cliff should be set to have already passed by that point.</w:t>
            </w:r>
          </w:p>
        </w:tc>
      </w:tr>
      <w:tr>
        <w:tc>
          <w:tcPr>
            <w:tcW w:type="dxa" w:w="3120"/>
            <w:tcBorders>
              <w:top w:val="single" w:sz="12.0" w:color="000000"/>
              <w:right w:val="single" w:sz="12.0" w:color="000000"/>
              <w:bottom w:val="single" w:sz="12.0" w:color="000000"/>
              <w:left w:val="single" w:sz="12.0" w:color="000000"/>
            </w:tcBorders>
          </w:tcPr>
          <w:p>
            <w:pPr>
              <w:jc w:val="center"/>
            </w:pPr>
            <w:r>
              <w:rPr>
                <w:b/>
              </w:rPr>
              <w:t>Will (25%)</w:t>
            </w:r>
          </w:p>
        </w:tc>
        <w:tc>
          <w:tcPr>
            <w:tcW w:type="dxa" w:w="3120"/>
            <w:tcBorders>
              <w:top w:val="single" w:sz="12.0" w:color="000000"/>
              <w:right w:val="single" w:sz="12.0" w:color="000000"/>
              <w:bottom w:val="single" w:sz="12.0" w:color="000000"/>
              <w:left w:val="single" w:sz="12.0" w:color="000000"/>
            </w:tcBorders>
          </w:tcPr>
          <w:p>
            <w:pPr>
              <w:jc w:val="center"/>
            </w:pPr>
            <w:r>
              <w:t>4-year vesting, 1-year cliff, monthly thereafter. No acceleration credit.</w:t>
            </w:r>
          </w:p>
        </w:tc>
        <w:tc>
          <w:tcPr>
            <w:tcW w:type="dxa" w:w="3120"/>
            <w:tcBorders>
              <w:top w:val="single" w:sz="12.0" w:color="000000"/>
              <w:right w:val="single" w:sz="12.0" w:color="000000"/>
              <w:bottom w:val="single" w:sz="12.0" w:color="000000"/>
              <w:left w:val="single" w:sz="12.0" w:color="000000"/>
            </w:tcBorders>
          </w:tcPr>
          <w:p>
            <w:pPr>
              <w:jc w:val="center"/>
            </w:pPr>
            <w:bookmarkStart w:id="1" w:name="cite-5229de4b-8504-4267-8d2a-2ae1bbf977b1"/>
            <w:bookmarkStart w:id="0" w:name="cite-9647c77d-724b-4785-90e9-ddfd65c684ef"/>
            <w:r>
              <w:t xml:space="preserve">Will's role is strategic advisor, not operator. </w:t>
            </w:r>
            <w:bookmarkEnd w:id="0"/>
            <w:hyperlink w:anchor="ref-9647c77d-724b-4785-90e9-ddfd65c684ef">
              <w:r>
                <w:rPr>
                  <w:color w:val="0000EE"/>
                  <w:u w:val="single"/>
                </w:rPr>
                <w:t>[14]</w:t>
              </w:r>
            </w:hyperlink>
            <w:r>
              <w:t xml:space="preserve"> </w:t>
            </w:r>
            <w:bookmarkEnd w:id="1"/>
            <w:hyperlink w:anchor="ref-5229de4b-8504-4267-8d2a-2ae1bbf977b1">
              <w:r>
                <w:rPr>
                  <w:color w:val="0000EE"/>
                  <w:u w:val="single"/>
                </w:rPr>
                <w:t>[15]</w:t>
              </w:r>
            </w:hyperlink>
            <w:r>
              <w:t xml:space="preserve"> He should earn his equity over time. The 1-year cliff ensures that if the partnership doesn't work, unvested shares return to the company.</w:t>
            </w:r>
          </w:p>
        </w:tc>
      </w:tr>
    </w:tbl>
    <w:p>
      <w:r/>
    </w:p>
    <w:p>
      <w:pPr/>
      <w:r>
        <w:rPr>
          <w:b/>
        </w:rPr>
        <w:t>Additional provisions to include:</w:t>
      </w:r>
      <w:r/>
      <w:r/>
    </w:p>
    <w:p>
      <w:bookmarkStart w:id="8" w:name="cite-d0ad27ba-f820-4347-82da-794a1030fd2f"/>
      <w:pPr>
        <w:pStyle w:val="ListBullet"/>
      </w:pPr>
      <w:r>
        <w:rPr>
          <w:b/>
        </w:rPr>
        <w:t>Single-trigger acceleration on change of control</w:t>
      </w:r>
      <w:r>
        <w:t xml:space="preserve"> (optional, but founder-friendly): if the company is sold, all unvested shares accelerate. This mirrors the drag-along in your Operating Agreement. </w:t>
      </w:r>
      <w:bookmarkEnd w:id="8"/>
      <w:hyperlink w:anchor="ref-d0ad27ba-f820-4347-82da-794a1030fd2f">
        <w:r>
          <w:rPr>
            <w:color w:val="0000EE"/>
            <w:u w:val="single"/>
          </w:rPr>
          <w:t>[16]</w:t>
        </w:r>
      </w:hyperlink>
      <w:r/>
    </w:p>
    <w:p>
      <w:pPr>
        <w:pStyle w:val="ListBullet"/>
      </w:pPr>
      <w:r>
        <w:rPr>
          <w:b/>
        </w:rPr>
        <w:t>Repurchase right:</w:t>
      </w:r>
      <w:r>
        <w:t xml:space="preserve"> The company (or Sanoj as majority holder) has the right to repurchase unvested shares at the original purchase price upon termination of the founder's service relationship.</w:t>
      </w:r>
      <w:r/>
    </w:p>
    <w:p>
      <w:bookmarkStart w:id="9" w:name="cite-429d2ed3-c07f-4291-af35-6e665aa775bf"/>
      <w:pPr>
        <w:pStyle w:val="ListBullet"/>
      </w:pPr>
      <w:r>
        <w:rPr>
          <w:b/>
        </w:rPr>
        <w:t>Will's service relationship should be defined carefully.</w:t>
      </w:r>
      <w:r>
        <w:t xml:space="preserve"> He is not an employee — he is an advisor/consultant. His Restricted Stock Purchase Agreement should define "continuous service" to include his advisory role, with specific expectations (e.g., the "weekly briefings, technical input, good-faith support" described in your Deal Memo). </w:t>
      </w:r>
      <w:bookmarkEnd w:id="9"/>
      <w:hyperlink w:anchor="ref-429d2ed3-c07f-4291-af35-6e665aa775bf">
        <w:r>
          <w:rPr>
            <w:color w:val="0000EE"/>
            <w:u w:val="single"/>
          </w:rPr>
          <w:t>[17]</w:t>
        </w:r>
      </w:hyperlink>
      <w:r/>
      <w:r/>
    </w:p>
    <w:p>
      <w:pPr>
        <w:pStyle w:val="Heading2"/>
      </w:pPr>
      <w:r>
        <w:t>Question 6: The 83(b) Election</w:t>
      </w:r>
      <w:r/>
    </w:p>
    <w:p>
      <w:pPr/>
      <w:r>
        <w:rPr>
          <w:b/>
        </w:rPr>
        <w:t>(a) Does it apply to both founders?</w:t>
      </w:r>
      <w:r>
        <w:t xml:space="preserve"> Yes. If either founder receives stock subject to vesting (i.e., a substantial risk of forfeiture), they should file an 83(b) election. Since I am recommending vesting for both Sanoj and Will, both must file.</w:t>
      </w:r>
      <w:r/>
    </w:p>
    <w:p>
      <w:pPr/>
      <w:r>
        <w:rPr>
          <w:b/>
        </w:rPr>
        <w:t>(b) What must be filed and where?</w:t>
      </w:r>
      <w:r>
        <w:t xml:space="preserve"> Each founder files a written 83(b) election with the IRS within 30 days of the stock purchase date. The election is a one-page form (there is no official IRS form — you draft it) that states: the taxpayer's name, address, and SSN; a description of the property (number and class of shares); the date of transfer; the fair market value at the date of transfer; the amount paid; and a statement that the taxpayer is electing under §83(b). It must be mailed to the IRS Service Center where the taxpayer files their return (for New York, this is typically the Austin, TX or Kansas City, MO center). Best practice is to send it via certified mail, return receipt requested. A copy should also be attached to each founder's personal tax return for the year of issuance, and a copy should be retained in the company's records.</w:t>
      </w:r>
      <w:r/>
    </w:p>
    <w:p>
      <w:pPr/>
      <w:r>
        <w:rPr>
          <w:b/>
        </w:rPr>
        <w:t>(c) What happens if you miss the 30-day window?</w:t>
      </w:r>
      <w:r>
        <w:t xml:space="preserve"> The consequence is severe and cannot be remedied — there is no extension or late-filing relief for §83(b). Without the election, the founder is taxed on the spread between fair market value and purchase price at each vesting date as ordinary income. If the company appreciates significantly, this creates a large tax bill at each vesting milestone with no liquidity to pay it. At the current stage, the fair market value of the shares is essentially par value, so the 83(b) election results in zero or negligible taxable income. This is exactly the right time to file.</w:t>
      </w:r>
      <w:r/>
    </w:p>
    <w:p>
      <w:pPr/>
      <w:r>
        <w:rPr>
          <w:b/>
        </w:rPr>
        <w:t>(d) Does this need to happen before May 15?</w:t>
      </w:r>
      <w:r>
        <w:t xml:space="preserve"> The 83(b) deadline runs from the date of the restricted stock purchase, not from the date you begin accepting customers. If you issue shares on, say, April 25, the 83(b) must be filed by May 25. So the deadline is driven by when you close the stock purchase, not by the revenue start date. That said, you should aim to have share issuance and 83(b) elections completed before May 15 to have a clean corporate structure in place before revenue begins.</w:t>
      </w:r>
      <w:r/>
    </w:p>
    <w:p>
      <w:pPr>
        <w:pStyle w:val="Heading2"/>
      </w:pPr>
      <w:r>
        <w:t>Question 7: The $550/Month Informal Commitment</w:t>
      </w:r>
      <w:r/>
    </w:p>
    <w:p>
      <w:bookmarkStart w:id="10" w:name="cite-25ca69ab-44ba-463a-bf9d-b9667b168255"/>
      <w:pPr/>
      <w:r>
        <w:t xml:space="preserve">The Deal Memo acknowledges Will's expected contribution of "approximately $500/month toward the Company's ongoing operating costs" and states it is "not a condition of ownership". </w:t>
      </w:r>
      <w:bookmarkEnd w:id="10"/>
      <w:hyperlink w:anchor="ref-25ca69ab-44ba-463a-bf9d-b9667b168255">
        <w:r>
          <w:rPr>
            <w:color w:val="0000EE"/>
            <w:u w:val="single"/>
          </w:rPr>
          <w:t>[18]</w:t>
        </w:r>
      </w:hyperlink>
      <w:r>
        <w:t xml:space="preserve"> Here is how to handle it in the C-corp context:</w:t>
      </w:r>
      <w:r/>
    </w:p>
    <w:p>
      <w:pPr/>
      <w:r>
        <w:rPr>
          <w:b/>
        </w:rPr>
        <w:t>(a) Legal and tax risk of keeping it informal.</w:t>
      </w:r>
      <w:r>
        <w:t xml:space="preserve"> The primary risk is characterization ambiguity. If Will sends $550/month to the company with no documentation, the IRS or a future auditor could characterize these payments as: (i) additional capital contributions (which would change his basis and potentially his ownership percentage if new shares should have been issued), (ii) loans (which should accrue interest under §7872 if below the applicable federal rate), or (iii) gifts (which have their own tax consequences). Informality is the enemy of clean tax treatment.</w:t>
      </w:r>
      <w:r/>
    </w:p>
    <w:p>
      <w:pPr/>
      <w:r>
        <w:rPr>
          <w:b/>
        </w:rPr>
        <w:t>(b) Recommended documentation.</w:t>
      </w:r>
      <w:r>
        <w:t xml:space="preserve"> The cleanest approach is a </w:t>
      </w:r>
      <w:r>
        <w:rPr>
          <w:b/>
        </w:rPr>
        <w:t>simple board-approved expense reimbursement or advance arrangement</w:t>
      </w:r>
      <w:r>
        <w:t>, documented in a one-page board resolution or a short letter agreement. The resolution would state that Will agrees to advance funds for specified company operating expenses (hosting, API fees, infrastructure), that the company acknowledges these as advances, and that the company will repay them at the board's discretion from available cash flow — without interest if repaid within a short window, or at the applicable federal rate if longer-term. This is functionally a demand note. It takes 30 minutes to draft and eliminates the ambiguity.</w:t>
      </w:r>
      <w:r/>
    </w:p>
    <w:p>
      <w:pPr/>
      <w:r>
        <w:t xml:space="preserve">Alternatively, if both parties are comfortable treating these as </w:t>
      </w:r>
      <w:r>
        <w:rPr>
          <w:b/>
        </w:rPr>
        <w:t>capital contributions with no expectation of repayment</w:t>
      </w:r>
      <w:r>
        <w:t>, document them as such via a board resolution — but note that additional capital contributions without corresponding share issuance should be explicitly characterized as pro-rata contributions that do not change the equity split. This should be stated clearly.</w:t>
      </w:r>
      <w:r/>
    </w:p>
    <w:p>
      <w:bookmarkStart w:id="11" w:name="cite-f3ed277b-57c9-416a-9d9f-0d3a3e6e3da2"/>
      <w:pPr/>
      <w:r>
        <w:rPr>
          <w:b/>
        </w:rPr>
        <w:t>(c) Impact on Will's equity position.</w:t>
      </w:r>
      <w:r>
        <w:t xml:space="preserve"> If undocumented, there is a risk that a future investor's counsel (during due diligence) flags these payments as potential additional equity purchases, which would complicate the cap table. Documenting them as advances or loans eliminates this risk entirely. With proper documentation, these payments do not affect Will's equity position. </w:t>
      </w:r>
      <w:bookmarkEnd w:id="11"/>
      <w:hyperlink w:anchor="ref-f3ed277b-57c9-416a-9d9f-0d3a3e6e3da2">
        <w:r>
          <w:rPr>
            <w:color w:val="0000EE"/>
            <w:u w:val="single"/>
          </w:rPr>
          <w:t>[19]</w:t>
        </w:r>
      </w:hyperlink>
      <w:r/>
    </w:p>
    <w:p>
      <w:pPr>
        <w:pStyle w:val="Heading2"/>
      </w:pPr>
      <w:r>
        <w:t>Question 8: Timeline — What Must Be in Place Before May 15</w:t>
      </w:r>
      <w:r/>
    </w:p>
    <w:p>
      <w:pPr/>
      <w:r>
        <w:rPr>
          <w:b/>
        </w:rPr>
        <w:t>Must-haves before accepting the first payment:</w:t>
      </w:r>
      <w:r/>
      <w:r/>
    </w:p>
    <w:p>
      <w:pPr>
        <w:pStyle w:val="ListNumber"/>
        <w:numPr>
          <w:ilvl w:val="0"/>
          <w:numId w:val="14"/>
        </w:numPr>
        <w:spacing w:after="0" w:line="240" w:lineRule="auto"/>
      </w:pPr>
      <w:r/>
      <w:r>
        <w:rPr>
          <w:b/>
        </w:rPr>
        <w:t>Entity formation.</w:t>
      </w:r>
      <w:r>
        <w:t xml:space="preserve"> You need a legal entity to accept payment. Stripe requires an EIN (Employer Identification Number) and a legal entity name to set up a business account. You cannot (or should not) accept business revenue in a personal name or bank account — it creates commingling issues and personal liability exposure.</w:t>
      </w:r>
      <w:r/>
      <w:r/>
    </w:p>
    <w:p>
      <w:pPr>
        <w:pStyle w:val="ListNumber"/>
        <w:numPr>
          <w:ilvl w:val="0"/>
          <w:numId w:val="14"/>
        </w:numPr>
        <w:spacing w:after="0" w:line="240" w:lineRule="auto"/>
      </w:pPr>
      <w:r/>
      <w:r>
        <w:rPr>
          <w:b/>
        </w:rPr>
        <w:t>EIN from the IRS.</w:t>
      </w:r>
      <w:r>
        <w:t xml:space="preserve"> Apply online at IRS.gov immediately after receiving the Delaware Certificate of Incorporation. This takes approximately 5 minutes and the EIN is issued immediately for online applications.</w:t>
      </w:r>
      <w:r/>
      <w:r/>
    </w:p>
    <w:p>
      <w:pPr>
        <w:pStyle w:val="ListNumber"/>
        <w:numPr>
          <w:ilvl w:val="0"/>
          <w:numId w:val="14"/>
        </w:numPr>
        <w:spacing w:after="0" w:line="240" w:lineRule="auto"/>
      </w:pPr>
      <w:r/>
      <w:r>
        <w:rPr>
          <w:b/>
        </w:rPr>
        <w:t>Business bank account.</w:t>
      </w:r>
      <w:r>
        <w:t xml:space="preserve"> Open a business checking account in the corporation's name. You need the Certificate of Incorporation, EIN confirmation letter, and board resolution authorizing the account. Most banks (Mercury, Brex, Chase) can open an account within 1–3 business days.</w:t>
      </w:r>
      <w:r/>
      <w:r/>
    </w:p>
    <w:p>
      <w:pPr>
        <w:pStyle w:val="ListNumber"/>
        <w:numPr>
          <w:ilvl w:val="0"/>
          <w:numId w:val="14"/>
        </w:numPr>
        <w:spacing w:after="0" w:line="240" w:lineRule="auto"/>
      </w:pPr>
      <w:r/>
      <w:r>
        <w:rPr>
          <w:b/>
        </w:rPr>
        <w:t>Stripe business account.</w:t>
      </w:r>
      <w:r>
        <w:t xml:space="preserve"> Update or create your Stripe account under the corporation's name and EIN. Stripe requires the legal entity name, EIN, business address, and a responsible person's SSN.</w:t>
      </w:r>
      <w:r/>
      <w:r/>
    </w:p>
    <w:p>
      <w:pPr>
        <w:pStyle w:val="ListNumber"/>
        <w:numPr>
          <w:ilvl w:val="0"/>
          <w:numId w:val="14"/>
        </w:numPr>
        <w:spacing w:after="0" w:line="240" w:lineRule="auto"/>
      </w:pPr>
      <w:r/>
      <w:r>
        <w:rPr>
          <w:b/>
        </w:rPr>
        <w:t>New York foreign corporation registration.</w:t>
      </w:r>
      <w:r>
        <w:t xml:space="preserve"> As discussed above, file the Application for Authority. This can be submitted concurrently with or shortly after Delaware formation. Processing time is typically 7–10 business days for standard filing, or 24 hours for expedited (~$25 additional fee).</w:t>
      </w:r>
      <w:r/>
      <w:r/>
      <w:r/>
    </w:p>
    <w:p>
      <w:pPr/>
      <w:r>
        <w:rPr>
          <w:b/>
        </w:rPr>
        <w:t>Important but can follow shortly after May 15:</w:t>
      </w:r>
      <w:r/>
      <w:r/>
    </w:p>
    <w:p>
      <w:pPr>
        <w:pStyle w:val="ListBullet"/>
      </w:pPr>
      <w:r>
        <w:t>Founder stock issuance and restricted stock purchase agreements (should be done ASAP, but technically the corporation can begin operating before shares are formally issued to founders)</w:t>
      </w:r>
      <w:r/>
    </w:p>
    <w:p>
      <w:pPr>
        <w:pStyle w:val="ListBullet"/>
      </w:pPr>
      <w:r>
        <w:t>83(b) elections (triggered by stock issuance date, not revenue date)</w:t>
      </w:r>
      <w:r/>
    </w:p>
    <w:p>
      <w:pPr>
        <w:pStyle w:val="ListBullet"/>
      </w:pPr>
      <w:r>
        <w:t>Equity incentive plan (not needed until you're ready to grant options)</w:t>
      </w:r>
      <w:r/>
    </w:p>
    <w:p>
      <w:pPr>
        <w:pStyle w:val="ListBullet"/>
      </w:pPr>
      <w:r>
        <w:t>IP assignment (should be done before or concurrently with share issuance, but a brief delay doesn't create liability if Sanoj is the sole director and controlling shareholder)</w:t>
      </w:r>
      <w:r/>
      <w:r/>
    </w:p>
    <w:p>
      <w:pPr>
        <w:pStyle w:val="Heading2"/>
      </w:pPr>
      <w:r>
        <w:t>Question 9: Sequenced Action Plan</w:t>
      </w:r>
      <w:r/>
    </w:p>
    <w:p>
      <w:pPr/>
      <w:r>
        <w:t>Here is the step-by-step sequence, with hard deadlines flagged:</w:t>
      </w:r>
      <w:r/>
    </w:p>
    <w:p>
      <w:pPr>
        <w:pStyle w:val="Heading3"/>
      </w:pPr>
      <w:r>
        <w:t>Week 1 (April 18–25): Formation</w:t>
      </w:r>
      <w:r/>
    </w:p>
    <w:tbl>
      <w:tblPr>
        <w:tblW w:type="auto" w:w="0"/>
        <w:tblLook w:firstColumn="1" w:firstRow="1" w:lastColumn="0" w:lastRow="0" w:noHBand="0" w:noVBand="1" w:val="04A0"/>
      </w:tblPr>
      <w:tblGrid>
        <w:gridCol w:w="2340"/>
        <w:gridCol w:w="2340"/>
        <w:gridCol w:w="2340"/>
        <w:gridCol w:w="2340"/>
      </w:tblGrid>
      <w:tr>
        <w:tc>
          <w:tcPr>
            <w:tcW w:type="dxa" w:w="2340"/>
            <w:shd w:fill="D3D3D3"/>
            <w:tcBorders>
              <w:top w:val="single" w:sz="12.0" w:color="000000"/>
              <w:right w:val="single" w:sz="12.0" w:color="000000"/>
              <w:bottom w:val="single" w:sz="12.0" w:color="000000"/>
              <w:left w:val="single" w:sz="12.0" w:color="000000"/>
            </w:tcBorders>
          </w:tcPr>
          <w:p>
            <w:r>
              <w:rPr>
                <w:b/>
              </w:rPr>
              <w:t>Step</w:t>
            </w:r>
          </w:p>
        </w:tc>
        <w:tc>
          <w:tcPr>
            <w:tcW w:type="dxa" w:w="2340"/>
            <w:shd w:fill="D3D3D3"/>
            <w:tcBorders>
              <w:top w:val="single" w:sz="12.0" w:color="000000"/>
              <w:right w:val="single" w:sz="12.0" w:color="000000"/>
              <w:bottom w:val="single" w:sz="12.0" w:color="000000"/>
              <w:left w:val="single" w:sz="12.0" w:color="000000"/>
            </w:tcBorders>
          </w:tcPr>
          <w:p>
            <w:r>
              <w:rPr>
                <w:b/>
              </w:rPr>
              <w:t>Action</w:t>
            </w:r>
          </w:p>
        </w:tc>
        <w:tc>
          <w:tcPr>
            <w:tcW w:type="dxa" w:w="2340"/>
            <w:shd w:fill="D3D3D3"/>
            <w:tcBorders>
              <w:top w:val="single" w:sz="12.0" w:color="000000"/>
              <w:right w:val="single" w:sz="12.0" w:color="000000"/>
              <w:bottom w:val="single" w:sz="12.0" w:color="000000"/>
              <w:left w:val="single" w:sz="12.0" w:color="000000"/>
            </w:tcBorders>
          </w:tcPr>
          <w:p>
            <w:r>
              <w:rPr>
                <w:b/>
              </w:rPr>
              <w:t>Deadline</w:t>
            </w:r>
          </w:p>
        </w:tc>
        <w:tc>
          <w:tcPr>
            <w:tcW w:type="dxa" w:w="2340"/>
            <w:shd w:fill="D3D3D3"/>
            <w:tcBorders>
              <w:top w:val="single" w:sz="12.0" w:color="000000"/>
              <w:right w:val="single" w:sz="12.0" w:color="000000"/>
              <w:bottom w:val="single" w:sz="12.0" w:color="000000"/>
              <w:left w:val="single" w:sz="12.0" w:color="000000"/>
            </w:tcBorders>
          </w:tcPr>
          <w:p>
            <w:r>
              <w:rPr>
                <w:b/>
              </w:rPr>
              <w:t>Notes</w:t>
            </w:r>
          </w:p>
        </w:tc>
      </w:tr>
      <w:tr>
        <w:tc>
          <w:tcPr>
            <w:tcW w:type="dxa" w:w="2340"/>
            <w:tcBorders>
              <w:top w:val="single" w:sz="12.0" w:color="000000"/>
              <w:right w:val="single" w:sz="12.0" w:color="000000"/>
              <w:bottom w:val="single" w:sz="12.0" w:color="000000"/>
              <w:left w:val="single" w:sz="12.0" w:color="000000"/>
            </w:tcBorders>
          </w:tcPr>
          <w:p>
            <w:pPr>
              <w:jc w:val="center"/>
            </w:pPr>
            <w:r>
              <w:t>1</w:t>
            </w:r>
          </w:p>
        </w:tc>
        <w:tc>
          <w:tcPr>
            <w:tcW w:type="dxa" w:w="2340"/>
            <w:tcBorders>
              <w:top w:val="single" w:sz="12.0" w:color="000000"/>
              <w:right w:val="single" w:sz="12.0" w:color="000000"/>
              <w:bottom w:val="single" w:sz="12.0" w:color="000000"/>
              <w:left w:val="single" w:sz="12.0" w:color="000000"/>
            </w:tcBorders>
          </w:tcPr>
          <w:p>
            <w:pPr>
              <w:jc w:val="center"/>
            </w:pPr>
            <w:r>
              <w:rPr>
                <w:b/>
              </w:rPr>
              <w:t>Choose exact corporate name</w:t>
            </w:r>
            <w:r>
              <w:t xml:space="preserve"> and confirm availability on the Delaware Division of Corporations website</w:t>
            </w:r>
          </w:p>
        </w:tc>
        <w:tc>
          <w:tcPr>
            <w:tcW w:type="dxa" w:w="2340"/>
            <w:tcBorders>
              <w:top w:val="single" w:sz="12.0" w:color="000000"/>
              <w:right w:val="single" w:sz="12.0" w:color="000000"/>
              <w:bottom w:val="single" w:sz="12.0" w:color="000000"/>
              <w:left w:val="single" w:sz="12.0" w:color="000000"/>
            </w:tcBorders>
          </w:tcPr>
          <w:p>
            <w:pPr>
              <w:jc w:val="center"/>
            </w:pPr>
            <w:r>
              <w:t>April 20</w:t>
            </w:r>
          </w:p>
        </w:tc>
        <w:tc>
          <w:tcPr>
            <w:tcW w:type="dxa" w:w="2340"/>
            <w:tcBorders>
              <w:top w:val="single" w:sz="12.0" w:color="000000"/>
              <w:right w:val="single" w:sz="12.0" w:color="000000"/>
              <w:bottom w:val="single" w:sz="12.0" w:color="000000"/>
              <w:left w:val="single" w:sz="12.0" w:color="000000"/>
            </w:tcBorders>
          </w:tcPr>
          <w:p>
            <w:pPr>
              <w:jc w:val="center"/>
            </w:pPr>
            <w:r>
              <w:t>Suggest "SHEP, Inc." or "SHEP Legal, Inc."</w:t>
            </w:r>
          </w:p>
        </w:tc>
      </w:tr>
      <w:tr>
        <w:tc>
          <w:tcPr>
            <w:tcW w:type="dxa" w:w="2340"/>
            <w:tcBorders>
              <w:top w:val="single" w:sz="12.0" w:color="000000"/>
              <w:right w:val="single" w:sz="12.0" w:color="000000"/>
              <w:bottom w:val="single" w:sz="12.0" w:color="000000"/>
              <w:left w:val="single" w:sz="12.0" w:color="000000"/>
            </w:tcBorders>
          </w:tcPr>
          <w:p>
            <w:pPr>
              <w:jc w:val="center"/>
            </w:pPr>
            <w:r>
              <w:t>2</w:t>
            </w:r>
          </w:p>
        </w:tc>
        <w:tc>
          <w:tcPr>
            <w:tcW w:type="dxa" w:w="2340"/>
            <w:tcBorders>
              <w:top w:val="single" w:sz="12.0" w:color="000000"/>
              <w:right w:val="single" w:sz="12.0" w:color="000000"/>
              <w:bottom w:val="single" w:sz="12.0" w:color="000000"/>
              <w:left w:val="single" w:sz="12.0" w:color="000000"/>
            </w:tcBorders>
          </w:tcPr>
          <w:p>
            <w:pPr>
              <w:jc w:val="center"/>
            </w:pPr>
            <w:r>
              <w:rPr>
                <w:b/>
              </w:rPr>
              <w:t>Draft and file Certificate of Incorporation</w:t>
            </w:r>
            <w:r>
              <w:t xml:space="preserve"> with the Delaware Secretary of State</w:t>
            </w:r>
          </w:p>
        </w:tc>
        <w:tc>
          <w:tcPr>
            <w:tcW w:type="dxa" w:w="2340"/>
            <w:tcBorders>
              <w:top w:val="single" w:sz="12.0" w:color="000000"/>
              <w:right w:val="single" w:sz="12.0" w:color="000000"/>
              <w:bottom w:val="single" w:sz="12.0" w:color="000000"/>
              <w:left w:val="single" w:sz="12.0" w:color="000000"/>
            </w:tcBorders>
          </w:tcPr>
          <w:p>
            <w:pPr>
              <w:jc w:val="center"/>
            </w:pPr>
            <w:r>
              <w:t>April 21</w:t>
            </w:r>
          </w:p>
        </w:tc>
        <w:tc>
          <w:tcPr>
            <w:tcW w:type="dxa" w:w="2340"/>
            <w:tcBorders>
              <w:top w:val="single" w:sz="12.0" w:color="000000"/>
              <w:right w:val="single" w:sz="12.0" w:color="000000"/>
              <w:bottom w:val="single" w:sz="12.0" w:color="000000"/>
              <w:left w:val="single" w:sz="12.0" w:color="000000"/>
            </w:tcBorders>
          </w:tcPr>
          <w:p>
            <w:pPr>
              <w:jc w:val="center"/>
            </w:pPr>
            <w:r>
              <w:t>Can use Stripe Atlas ($500, covers registered agent + formation + EIN) or file directly ($89 + registered agent). 24-hour expedited processing available for ~$100 additional.</w:t>
            </w:r>
          </w:p>
        </w:tc>
      </w:tr>
      <w:tr>
        <w:tc>
          <w:tcPr>
            <w:tcW w:type="dxa" w:w="2340"/>
            <w:tcBorders>
              <w:top w:val="single" w:sz="12.0" w:color="000000"/>
              <w:right w:val="single" w:sz="12.0" w:color="000000"/>
              <w:bottom w:val="single" w:sz="12.0" w:color="000000"/>
              <w:left w:val="single" w:sz="12.0" w:color="000000"/>
            </w:tcBorders>
          </w:tcPr>
          <w:p>
            <w:pPr>
              <w:jc w:val="center"/>
            </w:pPr>
            <w:r>
              <w:t>3</w:t>
            </w:r>
          </w:p>
        </w:tc>
        <w:tc>
          <w:tcPr>
            <w:tcW w:type="dxa" w:w="2340"/>
            <w:tcBorders>
              <w:top w:val="single" w:sz="12.0" w:color="000000"/>
              <w:right w:val="single" w:sz="12.0" w:color="000000"/>
              <w:bottom w:val="single" w:sz="12.0" w:color="000000"/>
              <w:left w:val="single" w:sz="12.0" w:color="000000"/>
            </w:tcBorders>
          </w:tcPr>
          <w:p>
            <w:pPr>
              <w:jc w:val="center"/>
            </w:pPr>
            <w:r>
              <w:rPr>
                <w:b/>
              </w:rPr>
              <w:t>Obtain EIN</w:t>
            </w:r>
            <w:r>
              <w:t xml:space="preserve"> from IRS (online application)</w:t>
            </w:r>
          </w:p>
        </w:tc>
        <w:tc>
          <w:tcPr>
            <w:tcW w:type="dxa" w:w="2340"/>
            <w:tcBorders>
              <w:top w:val="single" w:sz="12.0" w:color="000000"/>
              <w:right w:val="single" w:sz="12.0" w:color="000000"/>
              <w:bottom w:val="single" w:sz="12.0" w:color="000000"/>
              <w:left w:val="single" w:sz="12.0" w:color="000000"/>
            </w:tcBorders>
          </w:tcPr>
          <w:p>
            <w:pPr>
              <w:jc w:val="center"/>
            </w:pPr>
            <w:r>
              <w:t>Same day as incorporation</w:t>
            </w:r>
          </w:p>
        </w:tc>
        <w:tc>
          <w:tcPr>
            <w:tcW w:type="dxa" w:w="2340"/>
            <w:tcBorders>
              <w:top w:val="single" w:sz="12.0" w:color="000000"/>
              <w:right w:val="single" w:sz="12.0" w:color="000000"/>
              <w:bottom w:val="single" w:sz="12.0" w:color="000000"/>
              <w:left w:val="single" w:sz="12.0" w:color="000000"/>
            </w:tcBorders>
          </w:tcPr>
          <w:p>
            <w:pPr>
              <w:jc w:val="center"/>
            </w:pPr>
            <w:r>
              <w:t>Immediately after receiving the filed Certificate of Incorporation</w:t>
            </w:r>
          </w:p>
        </w:tc>
      </w:tr>
      <w:tr>
        <w:tc>
          <w:tcPr>
            <w:tcW w:type="dxa" w:w="2340"/>
            <w:tcBorders>
              <w:top w:val="single" w:sz="12.0" w:color="000000"/>
              <w:right w:val="single" w:sz="12.0" w:color="000000"/>
              <w:bottom w:val="single" w:sz="12.0" w:color="000000"/>
              <w:left w:val="single" w:sz="12.0" w:color="000000"/>
            </w:tcBorders>
          </w:tcPr>
          <w:p>
            <w:pPr>
              <w:jc w:val="center"/>
            </w:pPr>
            <w:r>
              <w:t>4</w:t>
            </w:r>
          </w:p>
        </w:tc>
        <w:tc>
          <w:tcPr>
            <w:tcW w:type="dxa" w:w="2340"/>
            <w:tcBorders>
              <w:top w:val="single" w:sz="12.0" w:color="000000"/>
              <w:right w:val="single" w:sz="12.0" w:color="000000"/>
              <w:bottom w:val="single" w:sz="12.0" w:color="000000"/>
              <w:left w:val="single" w:sz="12.0" w:color="000000"/>
            </w:tcBorders>
          </w:tcPr>
          <w:p>
            <w:pPr>
              <w:jc w:val="center"/>
            </w:pPr>
            <w:r>
              <w:rPr>
                <w:b/>
              </w:rPr>
              <w:t>Draft Bylaws and Initial Board Consent</w:t>
            </w:r>
          </w:p>
        </w:tc>
        <w:tc>
          <w:tcPr>
            <w:tcW w:type="dxa" w:w="2340"/>
            <w:tcBorders>
              <w:top w:val="single" w:sz="12.0" w:color="000000"/>
              <w:right w:val="single" w:sz="12.0" w:color="000000"/>
              <w:bottom w:val="single" w:sz="12.0" w:color="000000"/>
              <w:left w:val="single" w:sz="12.0" w:color="000000"/>
            </w:tcBorders>
          </w:tcPr>
          <w:p>
            <w:pPr>
              <w:jc w:val="center"/>
            </w:pPr>
            <w:r>
              <w:t>April 22–23</w:t>
            </w:r>
          </w:p>
        </w:tc>
        <w:tc>
          <w:tcPr>
            <w:tcW w:type="dxa" w:w="2340"/>
            <w:tcBorders>
              <w:top w:val="single" w:sz="12.0" w:color="000000"/>
              <w:right w:val="single" w:sz="12.0" w:color="000000"/>
              <w:bottom w:val="single" w:sz="12.0" w:color="000000"/>
              <w:left w:val="single" w:sz="12.0" w:color="000000"/>
            </w:tcBorders>
          </w:tcPr>
          <w:p>
            <w:pPr>
              <w:jc w:val="center"/>
            </w:pPr>
            <w:r>
              <w:t>Adopt bylaws, appoint officers (Sanoj as President/Secretary/Treasurer), authorize share issuance, authorize bank account</w:t>
            </w:r>
          </w:p>
        </w:tc>
      </w:tr>
      <w:tr>
        <w:tc>
          <w:tcPr>
            <w:tcW w:type="dxa" w:w="2340"/>
            <w:tcBorders>
              <w:top w:val="single" w:sz="12.0" w:color="000000"/>
              <w:right w:val="single" w:sz="12.0" w:color="000000"/>
              <w:bottom w:val="single" w:sz="12.0" w:color="000000"/>
              <w:left w:val="single" w:sz="12.0" w:color="000000"/>
            </w:tcBorders>
          </w:tcPr>
          <w:p>
            <w:pPr>
              <w:jc w:val="center"/>
            </w:pPr>
            <w:r>
              <w:t>5</w:t>
            </w:r>
          </w:p>
        </w:tc>
        <w:tc>
          <w:tcPr>
            <w:tcW w:type="dxa" w:w="2340"/>
            <w:tcBorders>
              <w:top w:val="single" w:sz="12.0" w:color="000000"/>
              <w:right w:val="single" w:sz="12.0" w:color="000000"/>
              <w:bottom w:val="single" w:sz="12.0" w:color="000000"/>
              <w:left w:val="single" w:sz="12.0" w:color="000000"/>
            </w:tcBorders>
          </w:tcPr>
          <w:p>
            <w:pPr>
              <w:jc w:val="center"/>
            </w:pPr>
            <w:r>
              <w:rPr>
                <w:b/>
              </w:rPr>
              <w:t>Open business bank account</w:t>
            </w:r>
          </w:p>
        </w:tc>
        <w:tc>
          <w:tcPr>
            <w:tcW w:type="dxa" w:w="2340"/>
            <w:tcBorders>
              <w:top w:val="single" w:sz="12.0" w:color="000000"/>
              <w:right w:val="single" w:sz="12.0" w:color="000000"/>
              <w:bottom w:val="single" w:sz="12.0" w:color="000000"/>
              <w:left w:val="single" w:sz="12.0" w:color="000000"/>
            </w:tcBorders>
          </w:tcPr>
          <w:p>
            <w:pPr>
              <w:jc w:val="center"/>
            </w:pPr>
            <w:r>
              <w:t>April 23–25</w:t>
            </w:r>
          </w:p>
        </w:tc>
        <w:tc>
          <w:tcPr>
            <w:tcW w:type="dxa" w:w="2340"/>
            <w:tcBorders>
              <w:top w:val="single" w:sz="12.0" w:color="000000"/>
              <w:right w:val="single" w:sz="12.0" w:color="000000"/>
              <w:bottom w:val="single" w:sz="12.0" w:color="000000"/>
              <w:left w:val="single" w:sz="12.0" w:color="000000"/>
            </w:tcBorders>
          </w:tcPr>
          <w:p>
            <w:pPr>
              <w:jc w:val="center"/>
            </w:pPr>
            <w:r>
              <w:t>Mercury or Brex can process in 1–2 business days; traditional banks may take longer</w:t>
            </w:r>
          </w:p>
        </w:tc>
      </w:tr>
    </w:tbl>
    <w:p>
      <w:r/>
    </w:p>
    <w:p>
      <w:pPr>
        <w:pStyle w:val="Heading3"/>
      </w:pPr>
      <w:r>
        <w:t>Week 2 (April 25–May 2): Equity and IP</w:t>
      </w:r>
      <w:r/>
    </w:p>
    <w:tbl>
      <w:tblPr>
        <w:tblW w:type="auto" w:w="0"/>
        <w:tblLook w:firstColumn="1" w:firstRow="1" w:lastColumn="0" w:lastRow="0" w:noHBand="0" w:noVBand="1" w:val="04A0"/>
      </w:tblPr>
      <w:tblGrid>
        <w:gridCol w:w="2340"/>
        <w:gridCol w:w="2340"/>
        <w:gridCol w:w="2340"/>
        <w:gridCol w:w="2340"/>
      </w:tblGrid>
      <w:tr>
        <w:tc>
          <w:tcPr>
            <w:tcW w:type="dxa" w:w="2340"/>
            <w:shd w:fill="D3D3D3"/>
            <w:tcBorders>
              <w:top w:val="single" w:sz="12.0" w:color="000000"/>
              <w:right w:val="single" w:sz="12.0" w:color="000000"/>
              <w:bottom w:val="single" w:sz="12.0" w:color="000000"/>
              <w:left w:val="single" w:sz="12.0" w:color="000000"/>
            </w:tcBorders>
          </w:tcPr>
          <w:p>
            <w:r>
              <w:rPr>
                <w:b/>
              </w:rPr>
              <w:t>Step</w:t>
            </w:r>
          </w:p>
        </w:tc>
        <w:tc>
          <w:tcPr>
            <w:tcW w:type="dxa" w:w="2340"/>
            <w:shd w:fill="D3D3D3"/>
            <w:tcBorders>
              <w:top w:val="single" w:sz="12.0" w:color="000000"/>
              <w:right w:val="single" w:sz="12.0" w:color="000000"/>
              <w:bottom w:val="single" w:sz="12.0" w:color="000000"/>
              <w:left w:val="single" w:sz="12.0" w:color="000000"/>
            </w:tcBorders>
          </w:tcPr>
          <w:p>
            <w:r>
              <w:rPr>
                <w:b/>
              </w:rPr>
              <w:t>Action</w:t>
            </w:r>
          </w:p>
        </w:tc>
        <w:tc>
          <w:tcPr>
            <w:tcW w:type="dxa" w:w="2340"/>
            <w:shd w:fill="D3D3D3"/>
            <w:tcBorders>
              <w:top w:val="single" w:sz="12.0" w:color="000000"/>
              <w:right w:val="single" w:sz="12.0" w:color="000000"/>
              <w:bottom w:val="single" w:sz="12.0" w:color="000000"/>
              <w:left w:val="single" w:sz="12.0" w:color="000000"/>
            </w:tcBorders>
          </w:tcPr>
          <w:p>
            <w:r>
              <w:rPr>
                <w:b/>
              </w:rPr>
              <w:t>Deadline</w:t>
            </w:r>
          </w:p>
        </w:tc>
        <w:tc>
          <w:tcPr>
            <w:tcW w:type="dxa" w:w="2340"/>
            <w:shd w:fill="D3D3D3"/>
            <w:tcBorders>
              <w:top w:val="single" w:sz="12.0" w:color="000000"/>
              <w:right w:val="single" w:sz="12.0" w:color="000000"/>
              <w:bottom w:val="single" w:sz="12.0" w:color="000000"/>
              <w:left w:val="single" w:sz="12.0" w:color="000000"/>
            </w:tcBorders>
          </w:tcPr>
          <w:p>
            <w:r>
              <w:rPr>
                <w:b/>
              </w:rPr>
              <w:t>Notes</w:t>
            </w:r>
          </w:p>
        </w:tc>
      </w:tr>
      <w:tr>
        <w:tc>
          <w:tcPr>
            <w:tcW w:type="dxa" w:w="2340"/>
            <w:tcBorders>
              <w:top w:val="single" w:sz="12.0" w:color="000000"/>
              <w:right w:val="single" w:sz="12.0" w:color="000000"/>
              <w:bottom w:val="single" w:sz="12.0" w:color="000000"/>
              <w:left w:val="single" w:sz="12.0" w:color="000000"/>
            </w:tcBorders>
          </w:tcPr>
          <w:p>
            <w:pPr>
              <w:jc w:val="center"/>
            </w:pPr>
            <w:r>
              <w:t>6</w:t>
            </w:r>
          </w:p>
        </w:tc>
        <w:tc>
          <w:tcPr>
            <w:tcW w:type="dxa" w:w="2340"/>
            <w:tcBorders>
              <w:top w:val="single" w:sz="12.0" w:color="000000"/>
              <w:right w:val="single" w:sz="12.0" w:color="000000"/>
              <w:bottom w:val="single" w:sz="12.0" w:color="000000"/>
              <w:left w:val="single" w:sz="12.0" w:color="000000"/>
            </w:tcBorders>
          </w:tcPr>
          <w:p>
            <w:pPr>
              <w:jc w:val="center"/>
            </w:pPr>
            <w:r>
              <w:rPr>
                <w:b/>
              </w:rPr>
              <w:t>Draft Founders' Restricted Stock Purchase Agreements</w:t>
            </w:r>
            <w:r>
              <w:t xml:space="preserve"> (one for each founder)</w:t>
            </w:r>
          </w:p>
        </w:tc>
        <w:tc>
          <w:tcPr>
            <w:tcW w:type="dxa" w:w="2340"/>
            <w:tcBorders>
              <w:top w:val="single" w:sz="12.0" w:color="000000"/>
              <w:right w:val="single" w:sz="12.0" w:color="000000"/>
              <w:bottom w:val="single" w:sz="12.0" w:color="000000"/>
              <w:left w:val="single" w:sz="12.0" w:color="000000"/>
            </w:tcBorders>
          </w:tcPr>
          <w:p>
            <w:pPr>
              <w:jc w:val="center"/>
            </w:pPr>
            <w:r>
              <w:t>April 25–28</w:t>
            </w:r>
          </w:p>
        </w:tc>
        <w:tc>
          <w:tcPr>
            <w:tcW w:type="dxa" w:w="2340"/>
            <w:tcBorders>
              <w:top w:val="single" w:sz="12.0" w:color="000000"/>
              <w:right w:val="single" w:sz="12.0" w:color="000000"/>
              <w:bottom w:val="single" w:sz="12.0" w:color="000000"/>
              <w:left w:val="single" w:sz="12.0" w:color="000000"/>
            </w:tcBorders>
          </w:tcPr>
          <w:p>
            <w:pPr>
              <w:jc w:val="center"/>
            </w:pPr>
            <w:r>
              <w:t>Include vesting schedules, repurchase rights, transfer restrictions</w:t>
            </w:r>
          </w:p>
        </w:tc>
      </w:tr>
      <w:tr>
        <w:tc>
          <w:tcPr>
            <w:tcW w:type="dxa" w:w="2340"/>
            <w:tcBorders>
              <w:top w:val="single" w:sz="12.0" w:color="000000"/>
              <w:right w:val="single" w:sz="12.0" w:color="000000"/>
              <w:bottom w:val="single" w:sz="12.0" w:color="000000"/>
              <w:left w:val="single" w:sz="12.0" w:color="000000"/>
            </w:tcBorders>
          </w:tcPr>
          <w:p>
            <w:pPr>
              <w:jc w:val="center"/>
            </w:pPr>
            <w:r>
              <w:t>7</w:t>
            </w:r>
          </w:p>
        </w:tc>
        <w:tc>
          <w:tcPr>
            <w:tcW w:type="dxa" w:w="2340"/>
            <w:tcBorders>
              <w:top w:val="single" w:sz="12.0" w:color="000000"/>
              <w:right w:val="single" w:sz="12.0" w:color="000000"/>
              <w:bottom w:val="single" w:sz="12.0" w:color="000000"/>
              <w:left w:val="single" w:sz="12.0" w:color="000000"/>
            </w:tcBorders>
          </w:tcPr>
          <w:p>
            <w:pPr>
              <w:jc w:val="center"/>
            </w:pPr>
            <w:r>
              <w:rPr>
                <w:b/>
              </w:rPr>
              <w:t>Execute new IP Assignment Agreement</w:t>
            </w:r>
            <w:r>
              <w:t xml:space="preserve"> — Sanoj to the C-corp</w:t>
            </w:r>
          </w:p>
        </w:tc>
        <w:tc>
          <w:tcPr>
            <w:tcW w:type="dxa" w:w="2340"/>
            <w:tcBorders>
              <w:top w:val="single" w:sz="12.0" w:color="000000"/>
              <w:right w:val="single" w:sz="12.0" w:color="000000"/>
              <w:bottom w:val="single" w:sz="12.0" w:color="000000"/>
              <w:left w:val="single" w:sz="12.0" w:color="000000"/>
            </w:tcBorders>
          </w:tcPr>
          <w:p>
            <w:pPr>
              <w:jc w:val="center"/>
            </w:pPr>
            <w:r>
              <w:t>April 28</w:t>
            </w:r>
          </w:p>
        </w:tc>
        <w:tc>
          <w:tcPr>
            <w:tcW w:type="dxa" w:w="2340"/>
            <w:tcBorders>
              <w:top w:val="single" w:sz="12.0" w:color="000000"/>
              <w:right w:val="single" w:sz="12.0" w:color="000000"/>
              <w:bottom w:val="single" w:sz="12.0" w:color="000000"/>
              <w:left w:val="single" w:sz="12.0" w:color="000000"/>
            </w:tcBorders>
          </w:tcPr>
          <w:p>
            <w:pPr>
              <w:jc w:val="center"/>
            </w:pPr>
            <w:bookmarkStart w:id="0" w:name="cite-a23bb471-f6b5-462c-873c-ed359c2f54d2"/>
            <w:r>
              <w:t xml:space="preserve">Must be in writing per 17 U.S.C. §204(a). </w:t>
            </w:r>
            <w:bookmarkEnd w:id="0"/>
            <w:hyperlink w:anchor="ref-a23bb471-f6b5-462c-873c-ed359c2f54d2">
              <w:r>
                <w:rPr>
                  <w:color w:val="0000EE"/>
                  <w:u w:val="single"/>
                </w:rPr>
                <w:t>[20]</w:t>
              </w:r>
            </w:hyperlink>
            <w:r>
              <w:t xml:space="preserve"> Do this concurrently with or before stock issuance.</w:t>
            </w:r>
          </w:p>
        </w:tc>
      </w:tr>
      <w:tr>
        <w:tc>
          <w:tcPr>
            <w:tcW w:type="dxa" w:w="2340"/>
            <w:tcBorders>
              <w:top w:val="single" w:sz="12.0" w:color="000000"/>
              <w:right w:val="single" w:sz="12.0" w:color="000000"/>
              <w:bottom w:val="single" w:sz="12.0" w:color="000000"/>
              <w:left w:val="single" w:sz="12.0" w:color="000000"/>
            </w:tcBorders>
          </w:tcPr>
          <w:p>
            <w:pPr>
              <w:jc w:val="center"/>
            </w:pPr>
            <w:r>
              <w:t>8</w:t>
            </w:r>
          </w:p>
        </w:tc>
        <w:tc>
          <w:tcPr>
            <w:tcW w:type="dxa" w:w="2340"/>
            <w:tcBorders>
              <w:top w:val="single" w:sz="12.0" w:color="000000"/>
              <w:right w:val="single" w:sz="12.0" w:color="000000"/>
              <w:bottom w:val="single" w:sz="12.0" w:color="000000"/>
              <w:left w:val="single" w:sz="12.0" w:color="000000"/>
            </w:tcBorders>
          </w:tcPr>
          <w:p>
            <w:pPr>
              <w:jc w:val="center"/>
            </w:pPr>
            <w:r>
              <w:rPr>
                <w:b/>
              </w:rPr>
              <w:t>Execute Mutual Termination Agreement</w:t>
            </w:r>
            <w:r>
              <w:t xml:space="preserve"> for the LLC Operating Agreement and original IP Assignment</w:t>
            </w:r>
          </w:p>
        </w:tc>
        <w:tc>
          <w:tcPr>
            <w:tcW w:type="dxa" w:w="2340"/>
            <w:tcBorders>
              <w:top w:val="single" w:sz="12.0" w:color="000000"/>
              <w:right w:val="single" w:sz="12.0" w:color="000000"/>
              <w:bottom w:val="single" w:sz="12.0" w:color="000000"/>
              <w:left w:val="single" w:sz="12.0" w:color="000000"/>
            </w:tcBorders>
          </w:tcPr>
          <w:p>
            <w:pPr>
              <w:jc w:val="center"/>
            </w:pPr>
            <w:r>
              <w:t>April 28</w:t>
            </w:r>
          </w:p>
        </w:tc>
        <w:tc>
          <w:tcPr>
            <w:tcW w:type="dxa" w:w="2340"/>
            <w:tcBorders>
              <w:top w:val="single" w:sz="12.0" w:color="000000"/>
              <w:right w:val="single" w:sz="12.0" w:color="000000"/>
              <w:bottom w:val="single" w:sz="12.0" w:color="000000"/>
              <w:left w:val="single" w:sz="12.0" w:color="000000"/>
            </w:tcBorders>
          </w:tcPr>
          <w:p>
            <w:pPr>
              <w:jc w:val="center"/>
            </w:pPr>
            <w:bookmarkStart w:id="0" w:name="cite-3b0dfda5-c5e6-4378-83ad-c99f39402972"/>
            <w:r>
              <w:t xml:space="preserve">Expressly supersedes both prior agreements </w:t>
            </w:r>
            <w:bookmarkEnd w:id="0"/>
            <w:hyperlink w:anchor="ref-3b0dfda5-c5e6-4378-83ad-c99f39402972">
              <w:r>
                <w:rPr>
                  <w:color w:val="0000EE"/>
                  <w:u w:val="single"/>
                </w:rPr>
                <w:t>[2]</w:t>
              </w:r>
            </w:hyperlink>
          </w:p>
        </w:tc>
      </w:tr>
      <w:tr>
        <w:tc>
          <w:tcPr>
            <w:tcW w:type="dxa" w:w="2340"/>
            <w:tcBorders>
              <w:top w:val="single" w:sz="12.0" w:color="000000"/>
              <w:right w:val="single" w:sz="12.0" w:color="000000"/>
              <w:bottom w:val="single" w:sz="12.0" w:color="000000"/>
              <w:left w:val="single" w:sz="12.0" w:color="000000"/>
            </w:tcBorders>
          </w:tcPr>
          <w:p>
            <w:pPr>
              <w:jc w:val="center"/>
            </w:pPr>
            <w:r>
              <w:t>9</w:t>
            </w:r>
          </w:p>
        </w:tc>
        <w:tc>
          <w:tcPr>
            <w:tcW w:type="dxa" w:w="2340"/>
            <w:tcBorders>
              <w:top w:val="single" w:sz="12.0" w:color="000000"/>
              <w:right w:val="single" w:sz="12.0" w:color="000000"/>
              <w:bottom w:val="single" w:sz="12.0" w:color="000000"/>
              <w:left w:val="single" w:sz="12.0" w:color="000000"/>
            </w:tcBorders>
          </w:tcPr>
          <w:p>
            <w:pPr>
              <w:jc w:val="center"/>
            </w:pPr>
            <w:r>
              <w:rPr>
                <w:b/>
              </w:rPr>
              <w:t>Issue founder shares and execute Restricted Stock Purchase Agreements</w:t>
            </w:r>
          </w:p>
        </w:tc>
        <w:tc>
          <w:tcPr>
            <w:tcW w:type="dxa" w:w="2340"/>
            <w:tcBorders>
              <w:top w:val="single" w:sz="12.0" w:color="000000"/>
              <w:right w:val="single" w:sz="12.0" w:color="000000"/>
              <w:bottom w:val="single" w:sz="12.0" w:color="000000"/>
              <w:left w:val="single" w:sz="12.0" w:color="000000"/>
            </w:tcBorders>
          </w:tcPr>
          <w:p>
            <w:pPr>
              <w:jc w:val="center"/>
            </w:pPr>
            <w:r>
              <w:t>April 28–30</w:t>
            </w:r>
          </w:p>
        </w:tc>
        <w:tc>
          <w:tcPr>
            <w:tcW w:type="dxa" w:w="2340"/>
            <w:tcBorders>
              <w:top w:val="single" w:sz="12.0" w:color="000000"/>
              <w:right w:val="single" w:sz="12.0" w:color="000000"/>
              <w:bottom w:val="single" w:sz="12.0" w:color="000000"/>
              <w:left w:val="single" w:sz="12.0" w:color="000000"/>
            </w:tcBorders>
          </w:tcPr>
          <w:p>
            <w:pPr>
              <w:jc w:val="center"/>
            </w:pPr>
            <w:r>
              <w:t>Sanoj: 7,500,000 shares for IP + $750 at par. Will: 2,500,000 shares for $250 at par.</w:t>
            </w:r>
          </w:p>
        </w:tc>
      </w:tr>
      <w:tr>
        <w:tc>
          <w:tcPr>
            <w:tcW w:type="dxa" w:w="2340"/>
            <w:tcBorders>
              <w:top w:val="single" w:sz="12.0" w:color="000000"/>
              <w:right w:val="single" w:sz="12.0" w:color="000000"/>
              <w:bottom w:val="single" w:sz="12.0" w:color="000000"/>
              <w:left w:val="single" w:sz="12.0" w:color="000000"/>
            </w:tcBorders>
          </w:tcPr>
          <w:p>
            <w:pPr>
              <w:jc w:val="center"/>
            </w:pPr>
            <w:r>
              <w:t>10</w:t>
            </w:r>
          </w:p>
        </w:tc>
        <w:tc>
          <w:tcPr>
            <w:tcW w:type="dxa" w:w="2340"/>
            <w:tcBorders>
              <w:top w:val="single" w:sz="12.0" w:color="000000"/>
              <w:right w:val="single" w:sz="12.0" w:color="000000"/>
              <w:bottom w:val="single" w:sz="12.0" w:color="000000"/>
              <w:left w:val="single" w:sz="12.0" w:color="000000"/>
            </w:tcBorders>
          </w:tcPr>
          <w:p>
            <w:pPr>
              <w:jc w:val="center"/>
            </w:pPr>
            <w:r>
              <w:rPr>
                <w:b/>
              </w:rPr>
              <w:t>⚠️ File 83(b) elections with the IRS</w:t>
            </w:r>
          </w:p>
        </w:tc>
        <w:tc>
          <w:tcPr>
            <w:tcW w:type="dxa" w:w="2340"/>
            <w:tcBorders>
              <w:top w:val="single" w:sz="12.0" w:color="000000"/>
              <w:right w:val="single" w:sz="12.0" w:color="000000"/>
              <w:bottom w:val="single" w:sz="12.0" w:color="000000"/>
              <w:left w:val="single" w:sz="12.0" w:color="000000"/>
            </w:tcBorders>
          </w:tcPr>
          <w:p>
            <w:pPr>
              <w:jc w:val="center"/>
            </w:pPr>
            <w:r>
              <w:rPr>
                <w:b/>
              </w:rPr>
              <w:t>Within 30 days of stock issuance — HARD DEADLINE</w:t>
            </w:r>
          </w:p>
        </w:tc>
        <w:tc>
          <w:tcPr>
            <w:tcW w:type="dxa" w:w="2340"/>
            <w:tcBorders>
              <w:top w:val="single" w:sz="12.0" w:color="000000"/>
              <w:right w:val="single" w:sz="12.0" w:color="000000"/>
              <w:bottom w:val="single" w:sz="12.0" w:color="000000"/>
              <w:left w:val="single" w:sz="12.0" w:color="000000"/>
            </w:tcBorders>
          </w:tcPr>
          <w:p>
            <w:pPr>
              <w:jc w:val="center"/>
            </w:pPr>
            <w:r>
              <w:t>Certified mail, return receipt requested. If shares issue April 28, deadline is May 28. Do not wait — file within days of issuance.</w:t>
            </w:r>
          </w:p>
        </w:tc>
      </w:tr>
      <w:tr>
        <w:tc>
          <w:tcPr>
            <w:tcW w:type="dxa" w:w="2340"/>
            <w:tcBorders>
              <w:top w:val="single" w:sz="12.0" w:color="000000"/>
              <w:right w:val="single" w:sz="12.0" w:color="000000"/>
              <w:bottom w:val="single" w:sz="12.0" w:color="000000"/>
              <w:left w:val="single" w:sz="12.0" w:color="000000"/>
            </w:tcBorders>
          </w:tcPr>
          <w:p>
            <w:pPr>
              <w:jc w:val="center"/>
            </w:pPr>
            <w:r>
              <w:t>11</w:t>
            </w:r>
          </w:p>
        </w:tc>
        <w:tc>
          <w:tcPr>
            <w:tcW w:type="dxa" w:w="2340"/>
            <w:tcBorders>
              <w:top w:val="single" w:sz="12.0" w:color="000000"/>
              <w:right w:val="single" w:sz="12.0" w:color="000000"/>
              <w:bottom w:val="single" w:sz="12.0" w:color="000000"/>
              <w:left w:val="single" w:sz="12.0" w:color="000000"/>
            </w:tcBorders>
          </w:tcPr>
          <w:p>
            <w:pPr>
              <w:jc w:val="center"/>
            </w:pPr>
            <w:r>
              <w:t>Will completes $3,500 contribution</w:t>
            </w:r>
          </w:p>
        </w:tc>
        <w:tc>
          <w:tcPr>
            <w:tcW w:type="dxa" w:w="2340"/>
            <w:tcBorders>
              <w:top w:val="single" w:sz="12.0" w:color="000000"/>
              <w:right w:val="single" w:sz="12.0" w:color="000000"/>
              <w:bottom w:val="single" w:sz="12.0" w:color="000000"/>
              <w:left w:val="single" w:sz="12.0" w:color="000000"/>
            </w:tcBorders>
          </w:tcPr>
          <w:p>
            <w:pPr>
              <w:jc w:val="center"/>
            </w:pPr>
            <w:r>
              <w:t>April 30</w:t>
            </w:r>
          </w:p>
        </w:tc>
        <w:tc>
          <w:tcPr>
            <w:tcW w:type="dxa" w:w="2340"/>
            <w:tcBorders>
              <w:top w:val="single" w:sz="12.0" w:color="000000"/>
              <w:right w:val="single" w:sz="12.0" w:color="000000"/>
              <w:bottom w:val="single" w:sz="12.0" w:color="000000"/>
              <w:left w:val="single" w:sz="12.0" w:color="000000"/>
            </w:tcBorders>
          </w:tcPr>
          <w:p>
            <w:pPr>
              <w:jc w:val="center"/>
            </w:pPr>
            <w:r>
              <w:t>$250 for share purchase + $3,250 as documented advance/capital contribution per board resolution</w:t>
            </w:r>
          </w:p>
        </w:tc>
      </w:tr>
    </w:tbl>
    <w:p>
      <w:r/>
    </w:p>
    <w:p>
      <w:pPr>
        <w:pStyle w:val="Heading3"/>
      </w:pPr>
      <w:r>
        <w:t>Week 3 (May 2–9): NY Registration and Stripe</w:t>
      </w:r>
      <w:r/>
    </w:p>
    <w:tbl>
      <w:tblPr>
        <w:tblW w:type="auto" w:w="0"/>
        <w:tblLook w:firstColumn="1" w:firstRow="1" w:lastColumn="0" w:lastRow="0" w:noHBand="0" w:noVBand="1" w:val="04A0"/>
      </w:tblPr>
      <w:tblGrid>
        <w:gridCol w:w="2340"/>
        <w:gridCol w:w="2340"/>
        <w:gridCol w:w="2340"/>
        <w:gridCol w:w="2340"/>
      </w:tblGrid>
      <w:tr>
        <w:tc>
          <w:tcPr>
            <w:tcW w:type="dxa" w:w="2340"/>
            <w:shd w:fill="D3D3D3"/>
            <w:tcBorders>
              <w:top w:val="single" w:sz="12.0" w:color="000000"/>
              <w:right w:val="single" w:sz="12.0" w:color="000000"/>
              <w:bottom w:val="single" w:sz="12.0" w:color="000000"/>
              <w:left w:val="single" w:sz="12.0" w:color="000000"/>
            </w:tcBorders>
          </w:tcPr>
          <w:p>
            <w:r>
              <w:rPr>
                <w:b/>
              </w:rPr>
              <w:t>Step</w:t>
            </w:r>
          </w:p>
        </w:tc>
        <w:tc>
          <w:tcPr>
            <w:tcW w:type="dxa" w:w="2340"/>
            <w:shd w:fill="D3D3D3"/>
            <w:tcBorders>
              <w:top w:val="single" w:sz="12.0" w:color="000000"/>
              <w:right w:val="single" w:sz="12.0" w:color="000000"/>
              <w:bottom w:val="single" w:sz="12.0" w:color="000000"/>
              <w:left w:val="single" w:sz="12.0" w:color="000000"/>
            </w:tcBorders>
          </w:tcPr>
          <w:p>
            <w:r>
              <w:rPr>
                <w:b/>
              </w:rPr>
              <w:t>Action</w:t>
            </w:r>
          </w:p>
        </w:tc>
        <w:tc>
          <w:tcPr>
            <w:tcW w:type="dxa" w:w="2340"/>
            <w:shd w:fill="D3D3D3"/>
            <w:tcBorders>
              <w:top w:val="single" w:sz="12.0" w:color="000000"/>
              <w:right w:val="single" w:sz="12.0" w:color="000000"/>
              <w:bottom w:val="single" w:sz="12.0" w:color="000000"/>
              <w:left w:val="single" w:sz="12.0" w:color="000000"/>
            </w:tcBorders>
          </w:tcPr>
          <w:p>
            <w:r>
              <w:rPr>
                <w:b/>
              </w:rPr>
              <w:t>Deadline</w:t>
            </w:r>
          </w:p>
        </w:tc>
        <w:tc>
          <w:tcPr>
            <w:tcW w:type="dxa" w:w="2340"/>
            <w:shd w:fill="D3D3D3"/>
            <w:tcBorders>
              <w:top w:val="single" w:sz="12.0" w:color="000000"/>
              <w:right w:val="single" w:sz="12.0" w:color="000000"/>
              <w:bottom w:val="single" w:sz="12.0" w:color="000000"/>
              <w:left w:val="single" w:sz="12.0" w:color="000000"/>
            </w:tcBorders>
          </w:tcPr>
          <w:p>
            <w:r>
              <w:rPr>
                <w:b/>
              </w:rPr>
              <w:t>Notes</w:t>
            </w:r>
          </w:p>
        </w:tc>
      </w:tr>
      <w:tr>
        <w:tc>
          <w:tcPr>
            <w:tcW w:type="dxa" w:w="2340"/>
            <w:tcBorders>
              <w:top w:val="single" w:sz="12.0" w:color="000000"/>
              <w:right w:val="single" w:sz="12.0" w:color="000000"/>
              <w:bottom w:val="single" w:sz="12.0" w:color="000000"/>
              <w:left w:val="single" w:sz="12.0" w:color="000000"/>
            </w:tcBorders>
          </w:tcPr>
          <w:p>
            <w:pPr>
              <w:jc w:val="center"/>
            </w:pPr>
            <w:r>
              <w:t>12</w:t>
            </w:r>
          </w:p>
        </w:tc>
        <w:tc>
          <w:tcPr>
            <w:tcW w:type="dxa" w:w="2340"/>
            <w:tcBorders>
              <w:top w:val="single" w:sz="12.0" w:color="000000"/>
              <w:right w:val="single" w:sz="12.0" w:color="000000"/>
              <w:bottom w:val="single" w:sz="12.0" w:color="000000"/>
              <w:left w:val="single" w:sz="12.0" w:color="000000"/>
            </w:tcBorders>
          </w:tcPr>
          <w:p>
            <w:pPr>
              <w:jc w:val="center"/>
            </w:pPr>
            <w:r>
              <w:rPr>
                <w:b/>
              </w:rPr>
              <w:t>File Application for Authority</w:t>
            </w:r>
            <w:r>
              <w:t xml:space="preserve"> as a foreign corporation in New York</w:t>
            </w:r>
          </w:p>
        </w:tc>
        <w:tc>
          <w:tcPr>
            <w:tcW w:type="dxa" w:w="2340"/>
            <w:tcBorders>
              <w:top w:val="single" w:sz="12.0" w:color="000000"/>
              <w:right w:val="single" w:sz="12.0" w:color="000000"/>
              <w:bottom w:val="single" w:sz="12.0" w:color="000000"/>
              <w:left w:val="single" w:sz="12.0" w:color="000000"/>
            </w:tcBorders>
          </w:tcPr>
          <w:p>
            <w:pPr>
              <w:jc w:val="center"/>
            </w:pPr>
            <w:r>
              <w:t>May 2</w:t>
            </w:r>
          </w:p>
        </w:tc>
        <w:tc>
          <w:tcPr>
            <w:tcW w:type="dxa" w:w="2340"/>
            <w:tcBorders>
              <w:top w:val="single" w:sz="12.0" w:color="000000"/>
              <w:right w:val="single" w:sz="12.0" w:color="000000"/>
              <w:bottom w:val="single" w:sz="12.0" w:color="000000"/>
              <w:left w:val="single" w:sz="12.0" w:color="000000"/>
            </w:tcBorders>
          </w:tcPr>
          <w:p>
            <w:pPr>
              <w:jc w:val="center"/>
            </w:pPr>
            <w:r>
              <w:t>$225 filing fee + ~$50 for Delaware Certificate of Good Standing. Use expedited processing.</w:t>
            </w:r>
          </w:p>
        </w:tc>
      </w:tr>
      <w:tr>
        <w:tc>
          <w:tcPr>
            <w:tcW w:type="dxa" w:w="2340"/>
            <w:tcBorders>
              <w:top w:val="single" w:sz="12.0" w:color="000000"/>
              <w:right w:val="single" w:sz="12.0" w:color="000000"/>
              <w:bottom w:val="single" w:sz="12.0" w:color="000000"/>
              <w:left w:val="single" w:sz="12.0" w:color="000000"/>
            </w:tcBorders>
          </w:tcPr>
          <w:p>
            <w:pPr>
              <w:jc w:val="center"/>
            </w:pPr>
            <w:r>
              <w:t>13</w:t>
            </w:r>
          </w:p>
        </w:tc>
        <w:tc>
          <w:tcPr>
            <w:tcW w:type="dxa" w:w="2340"/>
            <w:tcBorders>
              <w:top w:val="single" w:sz="12.0" w:color="000000"/>
              <w:right w:val="single" w:sz="12.0" w:color="000000"/>
              <w:bottom w:val="single" w:sz="12.0" w:color="000000"/>
              <w:left w:val="single" w:sz="12.0" w:color="000000"/>
            </w:tcBorders>
          </w:tcPr>
          <w:p>
            <w:pPr>
              <w:jc w:val="center"/>
            </w:pPr>
            <w:r>
              <w:rPr>
                <w:b/>
              </w:rPr>
              <w:t>Set up Stripe under the corporation's name and EIN</w:t>
            </w:r>
          </w:p>
        </w:tc>
        <w:tc>
          <w:tcPr>
            <w:tcW w:type="dxa" w:w="2340"/>
            <w:tcBorders>
              <w:top w:val="single" w:sz="12.0" w:color="000000"/>
              <w:right w:val="single" w:sz="12.0" w:color="000000"/>
              <w:bottom w:val="single" w:sz="12.0" w:color="000000"/>
              <w:left w:val="single" w:sz="12.0" w:color="000000"/>
            </w:tcBorders>
          </w:tcPr>
          <w:p>
            <w:pPr>
              <w:jc w:val="center"/>
            </w:pPr>
            <w:r>
              <w:t>May 5</w:t>
            </w:r>
          </w:p>
        </w:tc>
        <w:tc>
          <w:tcPr>
            <w:tcW w:type="dxa" w:w="2340"/>
            <w:tcBorders>
              <w:top w:val="single" w:sz="12.0" w:color="000000"/>
              <w:right w:val="single" w:sz="12.0" w:color="000000"/>
              <w:bottom w:val="single" w:sz="12.0" w:color="000000"/>
              <w:left w:val="single" w:sz="12.0" w:color="000000"/>
            </w:tcBorders>
          </w:tcPr>
          <w:p>
            <w:pPr>
              <w:jc w:val="center"/>
            </w:pPr>
            <w:r>
              <w:t>Update legal entity information, connect business bank account</w:t>
            </w:r>
          </w:p>
        </w:tc>
      </w:tr>
      <w:tr>
        <w:tc>
          <w:tcPr>
            <w:tcW w:type="dxa" w:w="2340"/>
            <w:tcBorders>
              <w:top w:val="single" w:sz="12.0" w:color="000000"/>
              <w:right w:val="single" w:sz="12.0" w:color="000000"/>
              <w:bottom w:val="single" w:sz="12.0" w:color="000000"/>
              <w:left w:val="single" w:sz="12.0" w:color="000000"/>
            </w:tcBorders>
          </w:tcPr>
          <w:p>
            <w:pPr>
              <w:jc w:val="center"/>
            </w:pPr>
            <w:r>
              <w:t>14</w:t>
            </w:r>
          </w:p>
        </w:tc>
        <w:tc>
          <w:tcPr>
            <w:tcW w:type="dxa" w:w="2340"/>
            <w:tcBorders>
              <w:top w:val="single" w:sz="12.0" w:color="000000"/>
              <w:right w:val="single" w:sz="12.0" w:color="000000"/>
              <w:bottom w:val="single" w:sz="12.0" w:color="000000"/>
              <w:left w:val="single" w:sz="12.0" w:color="000000"/>
            </w:tcBorders>
          </w:tcPr>
          <w:p>
            <w:pPr>
              <w:jc w:val="center"/>
            </w:pPr>
            <w:r>
              <w:rPr>
                <w:b/>
              </w:rPr>
              <w:t>Draft board resolution documenting Will's monthly advance arrangement</w:t>
            </w:r>
          </w:p>
        </w:tc>
        <w:tc>
          <w:tcPr>
            <w:tcW w:type="dxa" w:w="2340"/>
            <w:tcBorders>
              <w:top w:val="single" w:sz="12.0" w:color="000000"/>
              <w:right w:val="single" w:sz="12.0" w:color="000000"/>
              <w:bottom w:val="single" w:sz="12.0" w:color="000000"/>
              <w:left w:val="single" w:sz="12.0" w:color="000000"/>
            </w:tcBorders>
          </w:tcPr>
          <w:p>
            <w:pPr>
              <w:jc w:val="center"/>
            </w:pPr>
            <w:r>
              <w:t>May 5</w:t>
            </w:r>
          </w:p>
        </w:tc>
        <w:tc>
          <w:tcPr>
            <w:tcW w:type="dxa" w:w="2340"/>
            <w:tcBorders>
              <w:top w:val="single" w:sz="12.0" w:color="000000"/>
              <w:right w:val="single" w:sz="12.0" w:color="000000"/>
              <w:bottom w:val="single" w:sz="12.0" w:color="000000"/>
              <w:left w:val="single" w:sz="12.0" w:color="000000"/>
            </w:tcBorders>
          </w:tcPr>
          <w:p>
            <w:pPr>
              <w:jc w:val="center"/>
            </w:pPr>
            <w:r>
              <w:t>One page — characterizes $550/month as advances for operating expenses</w:t>
            </w:r>
          </w:p>
        </w:tc>
      </w:tr>
    </w:tbl>
    <w:p>
      <w:r/>
    </w:p>
    <w:p>
      <w:pPr>
        <w:pStyle w:val="Heading3"/>
      </w:pPr>
      <w:r>
        <w:t>Week 4 (May 9–15): Final Checks</w:t>
      </w:r>
      <w:r/>
    </w:p>
    <w:tbl>
      <w:tblPr>
        <w:tblW w:type="auto" w:w="0"/>
        <w:tblLook w:firstColumn="1" w:firstRow="1" w:lastColumn="0" w:lastRow="0" w:noHBand="0" w:noVBand="1" w:val="04A0"/>
      </w:tblPr>
      <w:tblGrid>
        <w:gridCol w:w="2340"/>
        <w:gridCol w:w="2340"/>
        <w:gridCol w:w="2340"/>
        <w:gridCol w:w="2340"/>
      </w:tblGrid>
      <w:tr>
        <w:tc>
          <w:tcPr>
            <w:tcW w:type="dxa" w:w="2340"/>
            <w:shd w:fill="D3D3D3"/>
            <w:tcBorders>
              <w:top w:val="single" w:sz="12.0" w:color="000000"/>
              <w:right w:val="single" w:sz="12.0" w:color="000000"/>
              <w:bottom w:val="single" w:sz="12.0" w:color="000000"/>
              <w:left w:val="single" w:sz="12.0" w:color="000000"/>
            </w:tcBorders>
          </w:tcPr>
          <w:p>
            <w:r>
              <w:rPr>
                <w:b/>
              </w:rPr>
              <w:t>Step</w:t>
            </w:r>
          </w:p>
        </w:tc>
        <w:tc>
          <w:tcPr>
            <w:tcW w:type="dxa" w:w="2340"/>
            <w:shd w:fill="D3D3D3"/>
            <w:tcBorders>
              <w:top w:val="single" w:sz="12.0" w:color="000000"/>
              <w:right w:val="single" w:sz="12.0" w:color="000000"/>
              <w:bottom w:val="single" w:sz="12.0" w:color="000000"/>
              <w:left w:val="single" w:sz="12.0" w:color="000000"/>
            </w:tcBorders>
          </w:tcPr>
          <w:p>
            <w:r>
              <w:rPr>
                <w:b/>
              </w:rPr>
              <w:t>Action</w:t>
            </w:r>
          </w:p>
        </w:tc>
        <w:tc>
          <w:tcPr>
            <w:tcW w:type="dxa" w:w="2340"/>
            <w:shd w:fill="D3D3D3"/>
            <w:tcBorders>
              <w:top w:val="single" w:sz="12.0" w:color="000000"/>
              <w:right w:val="single" w:sz="12.0" w:color="000000"/>
              <w:bottom w:val="single" w:sz="12.0" w:color="000000"/>
              <w:left w:val="single" w:sz="12.0" w:color="000000"/>
            </w:tcBorders>
          </w:tcPr>
          <w:p>
            <w:r>
              <w:rPr>
                <w:b/>
              </w:rPr>
              <w:t>Deadline</w:t>
            </w:r>
          </w:p>
        </w:tc>
        <w:tc>
          <w:tcPr>
            <w:tcW w:type="dxa" w:w="2340"/>
            <w:shd w:fill="D3D3D3"/>
            <w:tcBorders>
              <w:top w:val="single" w:sz="12.0" w:color="000000"/>
              <w:right w:val="single" w:sz="12.0" w:color="000000"/>
              <w:bottom w:val="single" w:sz="12.0" w:color="000000"/>
              <w:left w:val="single" w:sz="12.0" w:color="000000"/>
            </w:tcBorders>
          </w:tcPr>
          <w:p>
            <w:r>
              <w:rPr>
                <w:b/>
              </w:rPr>
              <w:t>Notes</w:t>
            </w:r>
          </w:p>
        </w:tc>
      </w:tr>
      <w:tr>
        <w:tc>
          <w:tcPr>
            <w:tcW w:type="dxa" w:w="2340"/>
            <w:tcBorders>
              <w:top w:val="single" w:sz="12.0" w:color="000000"/>
              <w:right w:val="single" w:sz="12.0" w:color="000000"/>
              <w:bottom w:val="single" w:sz="12.0" w:color="000000"/>
              <w:left w:val="single" w:sz="12.0" w:color="000000"/>
            </w:tcBorders>
          </w:tcPr>
          <w:p>
            <w:pPr>
              <w:jc w:val="center"/>
            </w:pPr>
            <w:r>
              <w:t>15</w:t>
            </w:r>
          </w:p>
        </w:tc>
        <w:tc>
          <w:tcPr>
            <w:tcW w:type="dxa" w:w="2340"/>
            <w:tcBorders>
              <w:top w:val="single" w:sz="12.0" w:color="000000"/>
              <w:right w:val="single" w:sz="12.0" w:color="000000"/>
              <w:bottom w:val="single" w:sz="12.0" w:color="000000"/>
              <w:left w:val="single" w:sz="12.0" w:color="000000"/>
            </w:tcBorders>
          </w:tcPr>
          <w:p>
            <w:pPr>
              <w:jc w:val="center"/>
            </w:pPr>
            <w:r>
              <w:rPr>
                <w:b/>
              </w:rPr>
              <w:t>Confirm NY registration processed</w:t>
            </w:r>
          </w:p>
        </w:tc>
        <w:tc>
          <w:tcPr>
            <w:tcW w:type="dxa" w:w="2340"/>
            <w:tcBorders>
              <w:top w:val="single" w:sz="12.0" w:color="000000"/>
              <w:right w:val="single" w:sz="12.0" w:color="000000"/>
              <w:bottom w:val="single" w:sz="12.0" w:color="000000"/>
              <w:left w:val="single" w:sz="12.0" w:color="000000"/>
            </w:tcBorders>
          </w:tcPr>
          <w:p>
            <w:pPr>
              <w:jc w:val="center"/>
            </w:pPr>
            <w:r>
              <w:t>May 9</w:t>
            </w:r>
          </w:p>
        </w:tc>
        <w:tc>
          <w:tcPr>
            <w:tcW w:type="dxa" w:w="2340"/>
            <w:tcBorders>
              <w:top w:val="single" w:sz="12.0" w:color="000000"/>
              <w:right w:val="single" w:sz="12.0" w:color="000000"/>
              <w:bottom w:val="single" w:sz="12.0" w:color="000000"/>
              <w:left w:val="single" w:sz="12.0" w:color="000000"/>
            </w:tcBorders>
          </w:tcPr>
          <w:p>
            <w:pPr>
              <w:jc w:val="center"/>
            </w:pPr>
            <w:r>
              <w:t>If standard processing is delayed, expedite</w:t>
            </w:r>
          </w:p>
        </w:tc>
      </w:tr>
      <w:tr>
        <w:tc>
          <w:tcPr>
            <w:tcW w:type="dxa" w:w="2340"/>
            <w:tcBorders>
              <w:top w:val="single" w:sz="12.0" w:color="000000"/>
              <w:right w:val="single" w:sz="12.0" w:color="000000"/>
              <w:bottom w:val="single" w:sz="12.0" w:color="000000"/>
              <w:left w:val="single" w:sz="12.0" w:color="000000"/>
            </w:tcBorders>
          </w:tcPr>
          <w:p>
            <w:pPr>
              <w:jc w:val="center"/>
            </w:pPr>
            <w:r>
              <w:t>16</w:t>
            </w:r>
          </w:p>
        </w:tc>
        <w:tc>
          <w:tcPr>
            <w:tcW w:type="dxa" w:w="2340"/>
            <w:tcBorders>
              <w:top w:val="single" w:sz="12.0" w:color="000000"/>
              <w:right w:val="single" w:sz="12.0" w:color="000000"/>
              <w:bottom w:val="single" w:sz="12.0" w:color="000000"/>
              <w:left w:val="single" w:sz="12.0" w:color="000000"/>
            </w:tcBorders>
          </w:tcPr>
          <w:p>
            <w:pPr>
              <w:jc w:val="center"/>
            </w:pPr>
            <w:r>
              <w:rPr>
                <w:b/>
              </w:rPr>
              <w:t>Test Stripe payment flow end-to-end</w:t>
            </w:r>
          </w:p>
        </w:tc>
        <w:tc>
          <w:tcPr>
            <w:tcW w:type="dxa" w:w="2340"/>
            <w:tcBorders>
              <w:top w:val="single" w:sz="12.0" w:color="000000"/>
              <w:right w:val="single" w:sz="12.0" w:color="000000"/>
              <w:bottom w:val="single" w:sz="12.0" w:color="000000"/>
              <w:left w:val="single" w:sz="12.0" w:color="000000"/>
            </w:tcBorders>
          </w:tcPr>
          <w:p>
            <w:pPr>
              <w:jc w:val="center"/>
            </w:pPr>
            <w:r>
              <w:t>May 12</w:t>
            </w:r>
          </w:p>
        </w:tc>
        <w:tc>
          <w:tcPr>
            <w:tcW w:type="dxa" w:w="2340"/>
            <w:tcBorders>
              <w:top w:val="single" w:sz="12.0" w:color="000000"/>
              <w:right w:val="single" w:sz="12.0" w:color="000000"/>
              <w:bottom w:val="single" w:sz="12.0" w:color="000000"/>
              <w:left w:val="single" w:sz="12.0" w:color="000000"/>
            </w:tcBorders>
          </w:tcPr>
          <w:p>
            <w:pPr>
              <w:jc w:val="center"/>
            </w:pPr>
            <w:r>
              <w:t>Confirm funds settle to the corporate bank account</w:t>
            </w:r>
          </w:p>
        </w:tc>
      </w:tr>
      <w:tr>
        <w:tc>
          <w:tcPr>
            <w:tcW w:type="dxa" w:w="2340"/>
            <w:tcBorders>
              <w:top w:val="single" w:sz="12.0" w:color="000000"/>
              <w:right w:val="single" w:sz="12.0" w:color="000000"/>
              <w:bottom w:val="single" w:sz="12.0" w:color="000000"/>
              <w:left w:val="single" w:sz="12.0" w:color="000000"/>
            </w:tcBorders>
          </w:tcPr>
          <w:p>
            <w:pPr>
              <w:jc w:val="center"/>
            </w:pPr>
            <w:r>
              <w:t>17</w:t>
            </w:r>
          </w:p>
        </w:tc>
        <w:tc>
          <w:tcPr>
            <w:tcW w:type="dxa" w:w="2340"/>
            <w:tcBorders>
              <w:top w:val="single" w:sz="12.0" w:color="000000"/>
              <w:right w:val="single" w:sz="12.0" w:color="000000"/>
              <w:bottom w:val="single" w:sz="12.0" w:color="000000"/>
              <w:left w:val="single" w:sz="12.0" w:color="000000"/>
            </w:tcBorders>
          </w:tcPr>
          <w:p>
            <w:pPr>
              <w:jc w:val="center"/>
            </w:pPr>
            <w:r>
              <w:rPr>
                <w:b/>
              </w:rPr>
              <w:t>Accept first paying customers</w:t>
            </w:r>
          </w:p>
        </w:tc>
        <w:tc>
          <w:tcPr>
            <w:tcW w:type="dxa" w:w="2340"/>
            <w:tcBorders>
              <w:top w:val="single" w:sz="12.0" w:color="000000"/>
              <w:right w:val="single" w:sz="12.0" w:color="000000"/>
              <w:bottom w:val="single" w:sz="12.0" w:color="000000"/>
              <w:left w:val="single" w:sz="12.0" w:color="000000"/>
            </w:tcBorders>
          </w:tcPr>
          <w:p>
            <w:pPr>
              <w:jc w:val="center"/>
            </w:pPr>
            <w:r>
              <w:rPr>
                <w:b/>
              </w:rPr>
              <w:t>May 15</w:t>
            </w:r>
          </w:p>
        </w:tc>
        <w:tc>
          <w:tcPr>
            <w:tcW w:type="dxa" w:w="2340"/>
            <w:tcBorders>
              <w:top w:val="single" w:sz="12.0" w:color="000000"/>
              <w:right w:val="single" w:sz="12.0" w:color="000000"/>
              <w:bottom w:val="single" w:sz="12.0" w:color="000000"/>
              <w:left w:val="single" w:sz="12.0" w:color="000000"/>
            </w:tcBorders>
          </w:tcPr>
          <w:p>
            <w:pPr>
              <w:jc w:val="center"/>
            </w:pPr>
            <w:r>
              <w:t>Entity formed, bank account open, Stripe live, IP assigned, equity issued, 83(b) filed</w:t>
            </w:r>
          </w:p>
        </w:tc>
      </w:tr>
    </w:tbl>
    <w:p>
      <w:r/>
    </w:p>
    <w:p>
      <w:pPr>
        <w:pStyle w:val="Heading3"/>
      </w:pPr>
      <w:r>
        <w:t>Deferrable Items (Post-Launch)</w:t>
      </w:r>
      <w:r/>
      <w:r/>
    </w:p>
    <w:p>
      <w:pPr>
        <w:pStyle w:val="ListBullet"/>
      </w:pPr>
      <w:r>
        <w:rPr>
          <w:b/>
        </w:rPr>
        <w:t>Equity Incentive Plan (Stock Option Plan):</w:t>
      </w:r>
      <w:r>
        <w:t xml:space="preserve"> Not needed until you're ready to grant options to employees or advisors. Can be adopted by board resolution at any time.</w:t>
      </w:r>
      <w:r/>
    </w:p>
    <w:p>
      <w:pPr>
        <w:pStyle w:val="ListBullet"/>
      </w:pPr>
      <w:r>
        <w:rPr>
          <w:b/>
        </w:rPr>
        <w:t>CIIAA for Will:</w:t>
      </w:r>
      <w:r>
        <w:t xml:space="preserve"> Should be executed soon but is not a launch blocker.</w:t>
      </w:r>
      <w:r/>
    </w:p>
    <w:p>
      <w:pPr>
        <w:pStyle w:val="ListBullet"/>
      </w:pPr>
      <w:r>
        <w:rPr>
          <w:b/>
        </w:rPr>
        <w:t>Delaware franchise tax:</w:t>
      </w:r>
      <w:r>
        <w:t xml:space="preserve"> First return due March 1, 2027, covering the 2026 tax year. Minimum $225 for startups using the Authorized Shares method.</w:t>
      </w:r>
      <w:r/>
    </w:p>
    <w:p>
      <w:pPr>
        <w:pStyle w:val="ListBullet"/>
      </w:pPr>
      <w:r>
        <w:rPr>
          <w:b/>
        </w:rPr>
        <w:t>Federal and NY corporate tax returns:</w:t>
      </w:r>
      <w:r>
        <w:t xml:space="preserve"> First filings due in 2027 for the 2026 tax year.</w:t>
      </w:r>
      <w:r/>
      <w:r/>
    </w:p>
    <w:p>
      <w:pPr>
        <w:pBdr>
          <w:bottom w:val="single" w:sz="6" w:space="1" w:color="auto"/>
        </w:pBdr>
      </w:pPr>
      <w:r/>
    </w:p>
    <w:p>
      <w:pPr/>
      <w:r>
        <w:t xml:space="preserve">This plan gets you from signed-but-unfiled LLC agreements to a fully operational Delaware C-corporation accepting revenue in under four weeks. The single hardest deadline in the entire sequence is the </w:t>
      </w:r>
      <w:r>
        <w:rPr>
          <w:b/>
        </w:rPr>
        <w:t>83(b) election — 30 days from stock issuance, no exceptions, no extensions.</w:t>
      </w:r>
      <w:r>
        <w:t xml:space="preserve"> Everything else has some flexibility, but the 83(b) is unforgiving. File it the same week you issue shares.</w:t>
      </w:r>
      <w:r/>
    </w:p>
    <w:p/>
    <w:p>
      <w:r>
        <w:br w:type="page"/>
      </w:r>
    </w:p>
    <w:p>
      <w:pPr>
        <w:pStyle w:val="Heading2"/>
      </w:pPr>
      <w:r>
        <w:t>References</w:t>
      </w:r>
    </w:p>
    <w:p>
      <w:bookmarkStart w:id="12" w:name="ref-2535354d-2349-4e78-bc04-36a96e1d66ed"/>
      <w:pPr>
        <w:pStyle w:val="ListNumber"/>
        <w:numPr>
          <w:ilvl w:val="0"/>
          <w:numId w:val="15"/>
        </w:numPr>
        <w:spacing w:after="0" w:line="240" w:lineRule="auto"/>
      </w:pPr>
      <w:bookmarkEnd w:id="12"/>
      <w:r>
        <w:t xml:space="preserve">together with the Managing Member, the "Parties"). </w:t>
      </w:r>
      <w:r>
        <w:rPr>
          <w:color w:val="0000FF"/>
        </w:rPr>
        <w:t>This Agreement becomes effective upon the Company's formation under the laws of the State of New York (the "Effective Date").</w:t>
      </w:r>
      <w:r>
        <w:t xml:space="preserve"> The Non-Managing Member will be admitted as a Member, and the Percentage Interests set forth in Section 4.1 will become effective, only upon completion and crediting to the Company of the Non-Managing Member's $3,500 Initial Contribution (as defined below). 0 . D E F I N I T I O N S For purposes of this Agreement, the following terms have the meanings set forth below: "Managing Member" means Sanoj Allen. (OPERATING AGREEMENT of SHEP LLC.pdf)</w:t>
      </w:r>
    </w:p>
    <w:p>
      <w:bookmarkStart w:id="13" w:name="ref-3b0dfda5-c5e6-4378-83ad-c99f39402972"/>
      <w:pPr>
        <w:pStyle w:val="ListNumber"/>
        <w:numPr>
          <w:ilvl w:val="0"/>
          <w:numId w:val="15"/>
        </w:numPr>
        <w:spacing w:after="0" w:line="240" w:lineRule="auto"/>
      </w:pPr>
      <w:bookmarkEnd w:id="13"/>
      <w:r>
        <w:t xml:space="preserve">Percentage Interests. 1 5 . M I S C E L L A N E O U S </w:t>
      </w:r>
      <w:r>
        <w:rPr>
          <w:color w:val="0000FF"/>
        </w:rPr>
        <w:t>This Agreement constitutes the entire agreement among the Parties with respect to the subject matter hereof and supersedes prior discussions.</w:t>
      </w:r>
      <w:r>
        <w:t xml:space="preserve"> This Agreement may be amended only by a written instrument signed by the Managing Member and the Non-Managing Member. This Agreement will be governed by the laws of the State of New York, without regard to conflict-of-law rules. Each Party agrees to execute further documents reasonably necessary to carry out the intent of this Agreement, including confirmatory assignments and updates (OPERATING AGREEMENT of SHEP LLC.pdf, Page 5)</w:t>
      </w:r>
    </w:p>
    <w:p>
      <w:bookmarkStart w:id="14" w:name="ref-ef003619-45e0-458d-89c0-a6300d622624"/>
      <w:pPr>
        <w:pStyle w:val="ListNumber"/>
        <w:numPr>
          <w:ilvl w:val="0"/>
          <w:numId w:val="15"/>
        </w:numPr>
        <w:spacing w:after="0" w:line="240" w:lineRule="auto"/>
      </w:pPr>
      <w:bookmarkEnd w:id="14"/>
      <w:r>
        <w:t xml:space="preserve">L O C A T I O N S A N D D I S T R I B U T I O N S </w:t>
      </w:r>
      <w:r>
        <w:rPr>
          <w:color w:val="0000FF"/>
        </w:rPr>
        <w:t>Profits, losses, and cash distributions attributable to the SHEP Business will be allocated and distributed to the Members in proportion to their respective Percentage Interests, except as otherwise required by applicable law.</w:t>
      </w:r>
      <w:r>
        <w:t xml:space="preserve"> No profits, losses, or distributions attributable to any New Venture will be allocated or distributed unless and until the Members approve in a written agreement the economic terms applicable to that New Venture. 6… (OPERATING AGREEMENT of SHEP LLC.pdf, Page 1)</w:t>
      </w:r>
    </w:p>
    <w:p>
      <w:bookmarkStart w:id="15" w:name="ref-6da9d47e-6b35-4555-b228-f82baffac55d"/>
      <w:pPr>
        <w:pStyle w:val="ListNumber"/>
        <w:numPr>
          <w:ilvl w:val="0"/>
          <w:numId w:val="15"/>
        </w:numPr>
        <w:spacing w:after="0" w:line="240" w:lineRule="auto"/>
      </w:pPr>
      <w:bookmarkEnd w:id="15"/>
      <w:r>
        <w:t xml:space="preserve">Non-Managing Member will be admitted as a Member and </w:t>
      </w:r>
      <w:r>
        <w:rPr>
          <w:color w:val="0000FF"/>
        </w:rPr>
        <w:t>the Members' ownership will be as follows (the "Percentage Interests"): the Managing Member will hold seventy-five percent (75%), and the Non-Managing Member will hold twenty-five percent (25%).</w:t>
      </w:r>
      <w:r>
        <w:t xml:space="preserve"> No additional capital contributions are required from either Member unless the Members agree in a written amendment signed by both Members. 5 . A L L O C A T I O N S A N D D I S T R I B U T I O N S Profits, losses, and cash distributions attributable to the SHEP Business will be (OPERATING AGREEMENT of SHEP LLC.pdf, Page 1)</w:t>
      </w:r>
    </w:p>
    <w:p>
      <w:bookmarkStart w:id="16" w:name="ref-6f33d125-23c7-431d-8d3c-34002a6c07ff"/>
      <w:pPr>
        <w:pStyle w:val="ListNumber"/>
        <w:numPr>
          <w:ilvl w:val="0"/>
          <w:numId w:val="15"/>
        </w:numPr>
        <w:spacing w:after="0" w:line="240" w:lineRule="auto"/>
      </w:pPr>
      <w:bookmarkEnd w:id="16"/>
      <w:r>
        <w:t xml:space="preserve">O D U C T 7.1 Assignment of Founder IP to Company </w:t>
      </w:r>
      <w:r>
        <w:rPr>
          <w:color w:val="0000FF"/>
        </w:rPr>
        <w:t>The Managing Member hereby assigns to the Company all right, title, and interest in and to the Founder IP pursuant to the IP Assignment Agreement.</w:t>
      </w:r>
      <w:r>
        <w:t xml:space="preserve"> The Members acknowledge that, as a matter of copyright law, a transfer of copyright ownership (other than by operation of law) is not valid unless in a writing signed by the owner (or authorized agent). 17 U.S.C. § 204(a). 7.2 Assignment of Non-Managing Member Work Product; No Employer Materials The Non-Managing Member hereby assigns, and agrees to assign, to the Company (OPERATING AGREEMENT of SHEP LLC.pdf, Page 2)</w:t>
      </w:r>
    </w:p>
    <w:p>
      <w:bookmarkStart w:id="17" w:name="ref-866e167d-0c59-4ff6-b527-91bd17ab4135"/>
      <w:pPr>
        <w:pStyle w:val="ListNumber"/>
        <w:numPr>
          <w:ilvl w:val="0"/>
          <w:numId w:val="15"/>
        </w:numPr>
        <w:spacing w:after="0" w:line="240" w:lineRule="auto"/>
      </w:pPr>
      <w:bookmarkEnd w:id="17"/>
      <w:r>
        <w:t xml:space="preserve">O D U C T 7.1 Assignment of Founder IP to Company </w:t>
      </w:r>
      <w:r>
        <w:rPr>
          <w:color w:val="0000FF"/>
        </w:rPr>
        <w:t>The Managing Member hereby assigns to the Company all right, title, and interest in and to the Founder IP pursuant to the IP Assignment Agreement. The Members acknowledge that, as a matter of copyright law, a transfer of copyright ownership (other than by operation of law) is not valid unless in a writing signed by the owner (or authorized agent). 17 U.S.C. § 204(a).</w:t>
      </w:r>
      <w:r>
        <w:t xml:space="preserve"> 7.2 Assignment of Non-Managing Member Work Product; No Employer Materials The Non-Managing Member hereby assigns, and agrees to assign, to the Company (OPERATING AGREEMENT of SHEP LLC.pdf, Page 2)</w:t>
      </w:r>
    </w:p>
    <w:p>
      <w:bookmarkStart w:id="18" w:name="ref-c5c62775-4846-49bc-8a2b-556c6e623dc5"/>
      <w:pPr>
        <w:pStyle w:val="ListNumber"/>
        <w:numPr>
          <w:ilvl w:val="0"/>
          <w:numId w:val="15"/>
        </w:numPr>
        <w:spacing w:after="0" w:line="240" w:lineRule="auto"/>
      </w:pPr>
      <w:bookmarkEnd w:id="18"/>
      <w:r>
        <w:t xml:space="preserve">owner (or authorized agent). 17 U.S.C. § 204(a). 7. </w:t>
      </w:r>
      <w:r>
        <w:rPr>
          <w:color w:val="0000FF"/>
        </w:rPr>
        <w:t>2 Assignment of Non-Managing Member Work Product; No Employer Materials The Non-Managing Member hereby assigns, and agrees to assign, to the Company all right, title, and interest in and to any and all inventions, works of authorship, code, documentation, analyses, designs, and other work product that the Non-Managing Member creates for the Company relating to SHEP during the term of the Non-Managing Member's involvement with the Company, to the extent permitted by law and the Non-Managing Member's obligations to third parties.</w:t>
      </w:r>
      <w:r>
        <w:t>… (OPERATING AGREEMENT of SHEP LLC.pdf, Page 2)</w:t>
      </w:r>
    </w:p>
    <w:p>
      <w:bookmarkStart w:id="19" w:name="ref-db2c75f0-7f01-4e28-b3da-a7a1c9cd8b2e"/>
      <w:pPr>
        <w:pStyle w:val="ListNumber"/>
        <w:numPr>
          <w:ilvl w:val="0"/>
          <w:numId w:val="15"/>
        </w:numPr>
        <w:spacing w:after="0" w:line="240" w:lineRule="auto"/>
      </w:pPr>
      <w:bookmarkEnd w:id="19"/>
      <w:r>
        <w:t xml:space="preserve">Founder IP pursuant to the IP Assignment Agreement. </w:t>
      </w:r>
      <w:r>
        <w:rPr>
          <w:color w:val="0000FF"/>
        </w:rPr>
        <w:t>The Members acknowledge that, as a matter of copyright law, a transfer of copyright ownership (other than by operation of law) is not valid unless in a writing signed by the owner (or authorized agent). 17 U.S.C. § 204(a).</w:t>
      </w:r>
      <w:r>
        <w:t xml:space="preserve"> 7.2 Assignment of Non-Managing Member Work Product; No Employer Materials The Non-Managing Member hereby assigns, and agrees to assign, to the Company all right, title, and interest in and to any and all inventions, works of authorship, code, documentation, analyses, designs, and other work product that the Non-Managing Member creates for (OPERATING AGREEMENT of SHEP LLC.pdf, Page 2)</w:t>
      </w:r>
    </w:p>
    <w:p>
      <w:bookmarkStart w:id="20" w:name="ref-2a5446bf-577d-4d2c-8e5b-d55c35098bcb"/>
      <w:pPr>
        <w:pStyle w:val="ListNumber"/>
        <w:numPr>
          <w:ilvl w:val="0"/>
          <w:numId w:val="15"/>
        </w:numPr>
        <w:spacing w:after="0" w:line="240" w:lineRule="auto"/>
      </w:pPr>
      <w:bookmarkEnd w:id="20"/>
      <w:r>
        <w:t xml:space="preserve">ownership will be as follows (the "Percentage Interests"): </w:t>
      </w:r>
      <w:r>
        <w:rPr>
          <w:color w:val="0000FF"/>
        </w:rPr>
        <w:t>the Managing Member will hold seventy-five percent (75%), and the Non-Managing Member will hold twenty-five percent (25%).</w:t>
      </w:r>
      <w:r>
        <w:t xml:space="preserve"> No additional capital contributions are required from either Member unless the Members agree in a written amendment signed by both Members. 5 . A L L O C A T I O N S A N D D I S T R I B U T I O N S Profits, losses, and cash distributions attributable to the SHEP Business will be allocated and distributed to the Members in proportion to their respective (OPERATING AGREEMENT of SHEP LLC.pdf, Page 1)</w:t>
      </w:r>
    </w:p>
    <w:p>
      <w:bookmarkStart w:id="21" w:name="ref-2c3a3ab1-8e38-46b0-a0d4-2ab5f94c8b9b"/>
      <w:pPr>
        <w:pStyle w:val="ListNumber"/>
        <w:numPr>
          <w:ilvl w:val="0"/>
          <w:numId w:val="15"/>
        </w:numPr>
        <w:spacing w:after="0" w:line="240" w:lineRule="auto"/>
      </w:pPr>
      <w:bookmarkEnd w:id="21"/>
      <w:r>
        <w:t xml:space="preserve">P 4.1 Initial Contribution; Ownership at Formation </w:t>
      </w:r>
      <w:r>
        <w:rPr>
          <w:color w:val="0000FF"/>
        </w:rPr>
        <w:t>The Non-Managing Member will contribute or fund Company expenses in an aggregate amount of $3,500 (the "Initial Contribution"), consisting of (as agreed between the Parties) certain formation and early operating costs including the NCBE licensing expense and formation-related costs, whether paid into the Company's account or paid directly by the Non-Managing Member on the Company's behalf with reasonable documentation. Upon completion and crediting of the Initial Contribution, the Non-Managing Member will be admitted as a Member and the Members' ownership will be as follows (the "Percentage Interests"): the Managing Member will (OPERATING AGREEMENT of SHEP LLC.pdf, Page 1)</w:t>
      </w:r>
    </w:p>
    <w:p>
      <w:bookmarkStart w:id="22" w:name="ref-fd29adb0-e494-4d8d-9fbe-1213969fdb88"/>
      <w:pPr>
        <w:pStyle w:val="ListNumber"/>
        <w:numPr>
          <w:ilvl w:val="0"/>
          <w:numId w:val="15"/>
        </w:numPr>
        <w:spacing w:after="0" w:line="240" w:lineRule="auto"/>
      </w:pPr>
      <w:bookmarkEnd w:id="22"/>
      <w:r>
        <w:t xml:space="preserve">after LLC formation and $3,500 initial contribution. </w:t>
      </w:r>
      <w:r>
        <w:rPr>
          <w:color w:val="0000FF"/>
        </w:rPr>
        <w:t>William's Initial Contribution ($3,500) A one-time contribution of $3,500 covering NCBE content licensing, LLC formation costs, and other startup expenses.</w:t>
      </w:r>
      <w:r>
        <w:t>… (SHEP LLC Deal Memo v2.pdf)</w:t>
      </w:r>
    </w:p>
    <w:p>
      <w:bookmarkStart w:id="23" w:name="ref-f341334f-bc40-4ad3-95b8-b877d998ed0c"/>
      <w:pPr>
        <w:pStyle w:val="ListNumber"/>
        <w:numPr>
          <w:ilvl w:val="0"/>
          <w:numId w:val="15"/>
        </w:numPr>
        <w:spacing w:after="0" w:line="240" w:lineRule="auto"/>
      </w:pPr>
      <w:bookmarkEnd w:id="23"/>
      <w:r>
        <w:rPr>
          <w:color w:val="0000FF"/>
        </w:rPr>
        <w:t>A Disengagement Event or a Specified Transfer Event with respect to a Member will give the Company, and if the Company does not elect the non-affected Member, the option to purchase all, but not less than all, of the affected Member's Percentage Interest at Fair Market Value on the payment terms set forth in Section 10.</w:t>
      </w:r>
      <w:r>
        <w:t xml:space="preserve"> Pending completion of any such purchase, any estate, guardian, trustee, receiver, creditor, or other successor to the affected Member will hold only the affected Member's economic rights and will have no right to participate in management or to become a substitute Member (OPERATING AGREEMENT of SHEP LLC.pdf, Page 4)</w:t>
      </w:r>
    </w:p>
    <w:p>
      <w:bookmarkStart w:id="24" w:name="ref-548a1c49-5367-4ed9-ad0d-a2a262a9ccce"/>
      <w:pPr>
        <w:pStyle w:val="ListNumber"/>
        <w:numPr>
          <w:ilvl w:val="0"/>
          <w:numId w:val="15"/>
        </w:numPr>
        <w:spacing w:after="0" w:line="240" w:lineRule="auto"/>
      </w:pPr>
      <w:bookmarkEnd w:id="24"/>
      <w:r>
        <w:t xml:space="preserve">distributions. I N T E L L E C T U A L P R O P E R T Y </w:t>
      </w:r>
      <w:r>
        <w:rPr>
          <w:color w:val="0000FF"/>
        </w:rPr>
        <w:t>Sanoj built all of SHEP's technology before this LLC was formed. The IP Assignment Agreement transfers that IP to the Company so the LLC owns it cleanly.</w:t>
      </w:r>
      <w:r>
        <w:t xml:space="preserve"> William assigns to the Company any SHEP-related work he creates. He agrees not to use any third- party or employer resources in doing so. S H E P sheplegal.com Sanoj Allen · Founder · sanoj@sheplegal.com · (678) 939-4428 Page 3 If the Company dissolves for any reason other than a (SHEP LLC Deal Memo v2.pdf, Page 1)</w:t>
      </w:r>
    </w:p>
    <w:p>
      <w:bookmarkStart w:id="25" w:name="ref-9647c77d-724b-4785-90e9-ddfd65c684ef"/>
      <w:pPr>
        <w:pStyle w:val="ListNumber"/>
        <w:numPr>
          <w:ilvl w:val="0"/>
          <w:numId w:val="15"/>
        </w:numPr>
        <w:spacing w:after="0" w:line="240" w:lineRule="auto"/>
      </w:pPr>
      <w:bookmarkEnd w:id="25"/>
      <w:r>
        <w:t xml:space="preserve">separately per venture. W H O R U N S T H E C O M P A N Y </w:t>
      </w:r>
      <w:r>
        <w:rPr>
          <w:color w:val="0000FF"/>
        </w:rPr>
        <w:t>Sanoj is the sole Manager and runs the day-to-day business. William does not have operational authority or blocking rights on routine decisions.</w:t>
      </w:r>
      <w:r>
        <w:t xml:space="preserve"> Both members must approve a short list of major actions: changing the economic deal, selling the company's assets, dissolving the LLC, or launching a new venture. P R O T E C T I O N S F O R B O T H S I D E S The Operating Agreement includes: • Right of (SHEP LLC Deal Memo v2.pdf)</w:t>
      </w:r>
    </w:p>
    <w:p>
      <w:bookmarkStart w:id="26" w:name="ref-5229de4b-8504-4267-8d2a-2ae1bbf977b1"/>
      <w:pPr>
        <w:pStyle w:val="ListNumber"/>
        <w:numPr>
          <w:ilvl w:val="0"/>
          <w:numId w:val="15"/>
        </w:numPr>
        <w:spacing w:after="0" w:line="240" w:lineRule="auto"/>
      </w:pPr>
      <w:bookmarkEnd w:id="26"/>
      <w:r>
        <w:t xml:space="preserve">the sole Manager and runs the day-to-day business. </w:t>
      </w:r>
      <w:r>
        <w:rPr>
          <w:color w:val="0000FF"/>
        </w:rPr>
        <w:t>William does not have operational authority or blocking rights on routine decisions.</w:t>
      </w:r>
      <w:r>
        <w:t xml:space="preserve"> Both members must approve a short list of major actions: changing the economic deal, selling the company's assets, dissolving the LLC, or launching a new venture. P R O T E C T I O N S F O R B O T H S I D E S The Operating Agreement includes: • Right of first refusal — if either member wants to sell their interest, the other gets first dibs… (SHEP LLC Deal Memo v2.pdf)</w:t>
      </w:r>
    </w:p>
    <w:p>
      <w:bookmarkStart w:id="27" w:name="ref-d0ad27ba-f820-4347-82da-794a1030fd2f"/>
      <w:pPr>
        <w:pStyle w:val="ListNumber"/>
        <w:numPr>
          <w:ilvl w:val="0"/>
          <w:numId w:val="15"/>
        </w:numPr>
        <w:spacing w:after="0" w:line="240" w:lineRule="auto"/>
      </w:pPr>
      <w:bookmarkEnd w:id="27"/>
      <w:r>
        <w:t xml:space="preserve">Member. 9 . D R A G - A L O N G A N D T A G - A L O N G </w:t>
      </w:r>
      <w:r>
        <w:rPr>
          <w:color w:val="0000FF"/>
        </w:rPr>
        <w:t>If Members holding more than fifty percent (50%) of the Percentage Interests approve a merger, sale of substantially all of the Company's assets, or sale of all of the outstanding Percentage Interests of the Company (a "Sale Transaction"), each Member will consent to, raise no objection against, and sell or exchange such Member's Percentage Interest on the same terms and conditions approved for the Sale Transaction; provided that each Member receives the same (OPERATING AGREEMENT of SHEP LLC.pdf, Page 3)</w:t>
      </w:r>
    </w:p>
    <w:p>
      <w:bookmarkStart w:id="28" w:name="ref-429d2ed3-c07f-4291-af35-6e665aa775bf"/>
      <w:pPr>
        <w:pStyle w:val="ListNumber"/>
        <w:numPr>
          <w:ilvl w:val="0"/>
          <w:numId w:val="15"/>
        </w:numPr>
        <w:spacing w:after="0" w:line="240" w:lineRule="auto"/>
      </w:pPr>
      <w:bookmarkEnd w:id="28"/>
      <w:r>
        <w:t xml:space="preserve">business as an active partner. Ongoing Involvement </w:t>
      </w:r>
      <w:r>
        <w:rPr>
          <w:color w:val="0000FF"/>
        </w:rPr>
        <w:t>William is expected to stay reasonably involved — weekly briefings, technical input, good-faith support.</w:t>
      </w:r>
      <w:r>
        <w:t xml:space="preserve"> If he materially disengages, the S H E P sheplegal.com Sanoj Allen · Founder · sanoj@sheplegal.com · (678) 939-4428 Page 2 Operating Agreement's buyout process applies. No vesting schedule. New Ventures The LLC can pursue ventures beyond SHEP, but each one requires a separate written agreement on economics signed by both members before launch. Profit Sharing SHEP Business profits and distributions split 75/25 per ownership. New venture economics are negotiated separately per venture. W H O R (SHEP LLC Deal Memo v2.pdf)</w:t>
      </w:r>
    </w:p>
    <w:p>
      <w:bookmarkStart w:id="29" w:name="ref-25ca69ab-44ba-463a-bf9d-b9667b168255"/>
      <w:pPr>
        <w:pStyle w:val="ListNumber"/>
        <w:numPr>
          <w:ilvl w:val="0"/>
          <w:numId w:val="15"/>
        </w:numPr>
        <w:spacing w:after="0" w:line="240" w:lineRule="auto"/>
      </w:pPr>
      <w:bookmarkEnd w:id="29"/>
      <w:r>
        <w:t xml:space="preserve">trail. William's Monthly Support (~$500/mo) Separately, </w:t>
      </w:r>
      <w:r>
        <w:rPr>
          <w:color w:val="0000FF"/>
        </w:rPr>
        <w:t>William is expected to contribute approximately $500/month toward the Company's ongoing operating costs (infrastructure, hosting, tools). This is not a condition of ownership — it reflects William's commitment to supporting the business as an active partner.</w:t>
      </w:r>
      <w:r>
        <w:t xml:space="preserve"> Ongoing Involvement William is expected to stay reasonably involved — weekly briefings, technical input, good-faith support. If he materially disengages, the S H E P sheplegal.com Sanoj Allen · Founder · sanoj@sheplegal.com · (678) 939-4428 Page 2 Operating Agreement's buyout process applies. No vesting schedule. New Ventures The LLC can pursue ventures beyond SHEP, but each (SHEP LLC Deal Memo v2.pdf)</w:t>
      </w:r>
    </w:p>
    <w:p>
      <w:bookmarkStart w:id="30" w:name="ref-f3ed277b-57c9-416a-9d9f-0d3a3e6e3da2"/>
      <w:pPr>
        <w:pStyle w:val="ListNumber"/>
        <w:numPr>
          <w:ilvl w:val="0"/>
          <w:numId w:val="15"/>
        </w:numPr>
        <w:spacing w:after="0" w:line="240" w:lineRule="auto"/>
      </w:pPr>
      <w:bookmarkEnd w:id="30"/>
      <w:r>
        <w:t xml:space="preserve">P 4.1 Initial Contribution; Ownership at Formation </w:t>
      </w:r>
      <w:r>
        <w:rPr>
          <w:color w:val="0000FF"/>
        </w:rPr>
        <w:t>The Non-Managing Member will contribute or fund Company expenses in an aggregate amount of $3,500 (the "Initial Contribution"), consisting of (as agreed between the Parties) certain formation and early operating costs including the NCBE licensing expense and formation-related costs, whether paid into the Company's account or paid directly by the Non-Managing Member on the Company's behalf with reasonable documentation.</w:t>
      </w:r>
      <w:r>
        <w:t xml:space="preserve"> Upon completion and crediting of the Initial Contribution, the Non-Managing Member will be admitted as a Member and the Members' ownership will be as follows (the "Percentage Interests"): the Managing Member will (OPERATING AGREEMENT of SHEP LLC.pdf, Page 1)</w:t>
      </w:r>
    </w:p>
    <w:p>
      <w:bookmarkStart w:id="31" w:name="ref-a23bb471-f6b5-462c-873c-ed359c2f54d2"/>
      <w:pPr>
        <w:pStyle w:val="ListNumber"/>
        <w:numPr>
          <w:ilvl w:val="0"/>
          <w:numId w:val="15"/>
        </w:numPr>
        <w:spacing w:after="0" w:line="240" w:lineRule="auto"/>
      </w:pPr>
      <w:bookmarkEnd w:id="31"/>
      <w:r>
        <w:t xml:space="preserve">Members acknowledge that, as a matter of copyright law, </w:t>
      </w:r>
      <w:r>
        <w:rPr>
          <w:color w:val="0000FF"/>
        </w:rPr>
        <w:t>a transfer of copyright ownership (other than by operation of law) is not valid unless in a writing signed by the owner (or authorized agent). 17 U.S.C. § 204(a).</w:t>
      </w:r>
      <w:r>
        <w:t xml:space="preserve"> 7.2 Assignment of Non-Managing Member Work Product; No Employer Materials The Non-Managing Member hereby assigns, and agrees to assign, to the Company all right, title, and interest in and to any and all inventions, works of authorship, code, documentation, analyses, designs, and other work product that the Non-Managing Member creates for the Company relating to SHEP during the term of (OPERATING AGREEMENT of SHEP LLC.pdf, Page 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9"/>
  </w:num>
  <w:num w:numId="14">
    <w:abstractNumId w:val="9"/>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40" w:lineRule="auto"/>
      <w:jc w:val="left"/>
    </w:pPr>
    <w:rPr>
      <w:rFonts w:ascii="Times New Roman" w:hAnsi="Times New Roman"/>
      <w:color w:val="00000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rPr>
      <w:rFonts w:ascii="Times New Roman" w:hAnsi="Times New Roman"/>
      <w:color w:val="000000"/>
    </w:r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rPr>
      <w:rFonts w:ascii="Times New Roman" w:hAnsi="Times New Roman"/>
      <w:color w:val="000000"/>
    </w:r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line="360" w:lineRule="auto"/>
      <w:outlineLvl w:val="0"/>
    </w:pPr>
    <w:rPr>
      <w:rFonts w:ascii="Times New Roman" w:hAnsi="Times New Roman"/>
      <w:b/>
      <w:bCs/>
      <w:color w:val="000000"/>
      <w:sz w:val="32"/>
      <w:szCs w:val="28"/>
    </w:rPr>
  </w:style>
  <w:style w:type="paragraph" w:styleId="Heading2">
    <w:name w:val="heading 2"/>
    <w:basedOn w:val="Normal"/>
    <w:next w:val="Normal"/>
    <w:link w:val="Heading2Char"/>
    <w:uiPriority w:val="9"/>
    <w:unhideWhenUsed/>
    <w:qFormat/>
    <w:rsid w:val="00FC693F"/>
    <w:pPr>
      <w:keepNext/>
      <w:keepLines/>
      <w:spacing w:before="200" w:after="0" w:line="360" w:lineRule="auto"/>
      <w:outlineLvl w:val="1"/>
    </w:pPr>
    <w:rPr>
      <w:rFonts w:ascii="Times New Roman" w:hAnsi="Times New Roman"/>
      <w:b/>
      <w:bCs/>
      <w:color w:val="000000"/>
      <w:sz w:val="28"/>
      <w:szCs w:val="26"/>
    </w:rPr>
  </w:style>
  <w:style w:type="paragraph" w:styleId="Heading3">
    <w:name w:val="heading 3"/>
    <w:basedOn w:val="Normal"/>
    <w:next w:val="Normal"/>
    <w:link w:val="Heading3Char"/>
    <w:uiPriority w:val="9"/>
    <w:unhideWhenUsed/>
    <w:qFormat/>
    <w:rsid w:val="00FC693F"/>
    <w:pPr>
      <w:keepNext/>
      <w:keepLines/>
      <w:spacing w:before="200" w:after="0" w:line="360" w:lineRule="auto"/>
      <w:outlineLvl w:val="2"/>
    </w:pPr>
    <w:rPr>
      <w:rFonts w:ascii="Times New Roman" w:hAnsi="Times New Roman"/>
      <w:b/>
      <w:bCs/>
      <w:color w:val="000000"/>
      <w:sz w:val="26"/>
    </w:rPr>
  </w:style>
  <w:style w:type="paragraph" w:styleId="Heading4">
    <w:name w:val="heading 4"/>
    <w:basedOn w:val="Normal"/>
    <w:next w:val="Normal"/>
    <w:link w:val="Heading4Char"/>
    <w:uiPriority w:val="9"/>
    <w:semiHidden/>
    <w:unhideWhenUsed/>
    <w:qFormat/>
    <w:rsid w:val="00FC693F"/>
    <w:pPr>
      <w:keepNext/>
      <w:keepLines/>
      <w:spacing w:before="200" w:after="0" w:line="360" w:lineRule="auto"/>
      <w:outlineLvl w:val="3"/>
    </w:pPr>
    <w:rPr>
      <w:rFonts w:ascii="Times New Roman" w:hAnsi="Times New Roman"/>
      <w:b/>
      <w:bCs/>
      <w:i/>
      <w:iCs/>
      <w:color w:val="000000"/>
    </w:rPr>
  </w:style>
  <w:style w:type="paragraph" w:styleId="Heading5">
    <w:name w:val="heading 5"/>
    <w:basedOn w:val="Normal"/>
    <w:next w:val="Normal"/>
    <w:link w:val="Heading5Char"/>
    <w:uiPriority w:val="9"/>
    <w:semiHidden/>
    <w:unhideWhenUsed/>
    <w:qFormat/>
    <w:rsid w:val="00FC693F"/>
    <w:pPr>
      <w:keepNext/>
      <w:keepLines/>
      <w:spacing w:before="200" w:after="0" w:line="360" w:lineRule="auto"/>
      <w:outlineLvl w:val="4"/>
    </w:pPr>
    <w:rPr>
      <w:rFonts w:ascii="Times New Roman" w:hAnsi="Times New Roman"/>
      <w:color w:val="000000"/>
    </w:rPr>
  </w:style>
  <w:style w:type="paragraph" w:styleId="Heading6">
    <w:name w:val="heading 6"/>
    <w:basedOn w:val="Normal"/>
    <w:next w:val="Normal"/>
    <w:link w:val="Heading6Char"/>
    <w:uiPriority w:val="9"/>
    <w:semiHidden/>
    <w:unhideWhenUsed/>
    <w:qFormat/>
    <w:rsid w:val="00FC693F"/>
    <w:pPr>
      <w:keepNext/>
      <w:keepLines/>
      <w:spacing w:before="200" w:after="0" w:line="360" w:lineRule="auto"/>
      <w:outlineLvl w:val="5"/>
    </w:pPr>
    <w:rPr>
      <w:rFonts w:ascii="Times New Roman" w:hAnsi="Times New Roman"/>
      <w:i/>
      <w:iCs/>
      <w:color w:val="000000"/>
    </w:rPr>
  </w:style>
  <w:style w:type="paragraph" w:styleId="Heading7">
    <w:name w:val="heading 7"/>
    <w:basedOn w:val="Normal"/>
    <w:next w:val="Normal"/>
    <w:link w:val="Heading7Char"/>
    <w:uiPriority w:val="9"/>
    <w:semiHidden/>
    <w:unhideWhenUsed/>
    <w:qFormat/>
    <w:rsid w:val="00FC693F"/>
    <w:pPr>
      <w:keepNext/>
      <w:keepLines/>
      <w:spacing w:before="200" w:after="0" w:line="360" w:lineRule="auto"/>
      <w:outlineLvl w:val="6"/>
    </w:pPr>
    <w:rPr>
      <w:rFonts w:ascii="Times New Roman" w:hAnsi="Times New Roman"/>
      <w:i/>
      <w:iCs/>
      <w:color w:val="000000"/>
    </w:rPr>
  </w:style>
  <w:style w:type="paragraph" w:styleId="Heading8">
    <w:name w:val="heading 8"/>
    <w:basedOn w:val="Normal"/>
    <w:next w:val="Normal"/>
    <w:link w:val="Heading8Char"/>
    <w:uiPriority w:val="9"/>
    <w:semiHidden/>
    <w:unhideWhenUsed/>
    <w:qFormat/>
    <w:rsid w:val="00FC693F"/>
    <w:pPr>
      <w:keepNext/>
      <w:keepLines/>
      <w:spacing w:before="200" w:after="0" w:line="360" w:lineRule="auto"/>
      <w:outlineLvl w:val="7"/>
    </w:pPr>
    <w:rPr>
      <w:rFonts w:ascii="Times New Roman" w:hAnsi="Times New Roman"/>
      <w:color w:val="000000"/>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line="360" w:lineRule="auto"/>
      <w:outlineLvl w:val="8"/>
    </w:pPr>
    <w:rPr>
      <w:rFonts w:ascii="Times New Roman" w:hAnsi="Times New Roman"/>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360" w:lineRule="auto"/>
      <w:contextualSpacing/>
    </w:pPr>
    <w:rPr>
      <w:rFonts w:ascii="Times New Roman" w:hAnsi="Times New Roman"/>
      <w:color w:val="000000"/>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spacing w:line="360" w:lineRule="auto"/>
    </w:pPr>
    <w:rPr>
      <w:rFonts w:ascii="Times New Roman" w:hAnsi="Times New Roman"/>
      <w:i/>
      <w:iCs/>
      <w:color w:val="000000"/>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rPr>
      <w:rFonts w:ascii="Times New Roman" w:hAnsi="Times New Roman"/>
      <w:color w:val="000000"/>
    </w:rPr>
  </w:style>
  <w:style w:type="paragraph" w:styleId="BodyText">
    <w:name w:val="Body Text"/>
    <w:basedOn w:val="Normal"/>
    <w:link w:val="BodyTextChar"/>
    <w:uiPriority w:val="99"/>
    <w:unhideWhenUsed/>
    <w:rsid w:val="00AA1D8D"/>
    <w:pPr>
      <w:spacing w:after="120" w:line="240" w:lineRule="auto"/>
      <w:jc w:val="left"/>
    </w:pPr>
    <w:rPr>
      <w:rFonts w:ascii="Times New Roman" w:hAnsi="Times New Roman"/>
      <w:color w:val="000000"/>
      <w:sz w:val="24"/>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240" w:lineRule="auto"/>
      <w:jc w:val="left"/>
    </w:pPr>
    <w:rPr>
      <w:rFonts w:ascii="Times New Roman" w:hAnsi="Times New Roman"/>
      <w:color w:val="000000"/>
      <w:sz w:val="24"/>
    </w:r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line="240" w:lineRule="auto"/>
      <w:jc w:val="left"/>
    </w:pPr>
    <w:rPr>
      <w:rFonts w:ascii="Times New Roman" w:hAnsi="Times New Roman"/>
      <w:color w:val="000000"/>
      <w:sz w:val="24"/>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rPr>
      <w:rFonts w:ascii="Times New Roman" w:hAnsi="Times New Roman"/>
      <w:color w:val="000000"/>
    </w:rPr>
  </w:style>
  <w:style w:type="paragraph" w:styleId="List2">
    <w:name w:val="List 2"/>
    <w:basedOn w:val="Normal"/>
    <w:uiPriority w:val="99"/>
    <w:unhideWhenUsed/>
    <w:rsid w:val="00326F90"/>
    <w:pPr>
      <w:ind w:left="720" w:hanging="360"/>
      <w:contextualSpacing/>
    </w:pPr>
    <w:rPr>
      <w:rFonts w:ascii="Times New Roman" w:hAnsi="Times New Roman"/>
      <w:color w:val="000000"/>
    </w:rPr>
  </w:style>
  <w:style w:type="paragraph" w:styleId="List3">
    <w:name w:val="List 3"/>
    <w:basedOn w:val="Normal"/>
    <w:uiPriority w:val="99"/>
    <w:unhideWhenUsed/>
    <w:rsid w:val="00326F90"/>
    <w:pPr>
      <w:ind w:left="1080" w:hanging="360"/>
      <w:contextualSpacing/>
    </w:pPr>
    <w:rPr>
      <w:rFonts w:ascii="Times New Roman" w:hAnsi="Times New Roman"/>
      <w:color w:val="000000"/>
    </w:rPr>
  </w:style>
  <w:style w:type="paragraph" w:styleId="ListBullet">
    <w:name w:val="List Bullet"/>
    <w:basedOn w:val="Normal"/>
    <w:uiPriority w:val="99"/>
    <w:unhideWhenUsed/>
    <w:rsid w:val="00326F90"/>
    <w:pPr>
      <w:numPr>
        <w:numId w:val="1"/>
      </w:numPr>
      <w:contextualSpacing/>
    </w:pPr>
    <w:rPr>
      <w:rFonts w:ascii="Times New Roman" w:hAnsi="Times New Roman"/>
      <w:color w:val="000000"/>
    </w:rPr>
  </w:style>
  <w:style w:type="paragraph" w:styleId="ListBullet2">
    <w:name w:val="List Bullet 2"/>
    <w:basedOn w:val="Normal"/>
    <w:uiPriority w:val="99"/>
    <w:unhideWhenUsed/>
    <w:rsid w:val="00326F90"/>
    <w:pPr>
      <w:numPr>
        <w:numId w:val="2"/>
      </w:numPr>
      <w:contextualSpacing/>
    </w:pPr>
    <w:rPr>
      <w:rFonts w:ascii="Times New Roman" w:hAnsi="Times New Roman"/>
      <w:color w:val="000000"/>
    </w:rPr>
  </w:style>
  <w:style w:type="paragraph" w:styleId="ListBullet3">
    <w:name w:val="List Bullet 3"/>
    <w:basedOn w:val="Normal"/>
    <w:uiPriority w:val="99"/>
    <w:unhideWhenUsed/>
    <w:rsid w:val="00326F90"/>
    <w:pPr>
      <w:numPr>
        <w:numId w:val="3"/>
      </w:numPr>
      <w:contextualSpacing/>
    </w:pPr>
    <w:rPr>
      <w:rFonts w:ascii="Times New Roman" w:hAnsi="Times New Roman"/>
      <w:color w:val="000000"/>
    </w:rPr>
  </w:style>
  <w:style w:type="paragraph" w:styleId="ListNumber">
    <w:name w:val="List Number"/>
    <w:basedOn w:val="Normal"/>
    <w:uiPriority w:val="99"/>
    <w:unhideWhenUsed/>
    <w:rsid w:val="00326F90"/>
    <w:pPr>
      <w:numPr>
        <w:numId w:val="5"/>
      </w:numPr>
      <w:contextualSpacing/>
    </w:pPr>
    <w:rPr>
      <w:rFonts w:ascii="Times New Roman" w:hAnsi="Times New Roman"/>
      <w:color w:val="000000"/>
    </w:rPr>
  </w:style>
  <w:style w:type="paragraph" w:styleId="ListNumber2">
    <w:name w:val="List Number 2"/>
    <w:basedOn w:val="Normal"/>
    <w:uiPriority w:val="99"/>
    <w:unhideWhenUsed/>
    <w:rsid w:val="0029639D"/>
    <w:pPr>
      <w:numPr>
        <w:numId w:val="6"/>
      </w:numPr>
      <w:contextualSpacing/>
    </w:pPr>
    <w:rPr>
      <w:rFonts w:ascii="Times New Roman" w:hAnsi="Times New Roman"/>
      <w:color w:val="000000"/>
    </w:rPr>
  </w:style>
  <w:style w:type="paragraph" w:styleId="ListNumber3">
    <w:name w:val="List Number 3"/>
    <w:basedOn w:val="Normal"/>
    <w:uiPriority w:val="99"/>
    <w:unhideWhenUsed/>
    <w:rsid w:val="0029639D"/>
    <w:pPr>
      <w:numPr>
        <w:numId w:val="7"/>
      </w:numPr>
      <w:contextualSpacing/>
    </w:pPr>
    <w:rPr>
      <w:rFonts w:ascii="Times New Roman" w:hAnsi="Times New Roman"/>
      <w:color w:val="000000"/>
    </w:rPr>
  </w:style>
  <w:style w:type="paragraph" w:styleId="ListContinue">
    <w:name w:val="List Continue"/>
    <w:basedOn w:val="Normal"/>
    <w:uiPriority w:val="99"/>
    <w:unhideWhenUsed/>
    <w:rsid w:val="0029639D"/>
    <w:pPr>
      <w:spacing w:after="120"/>
      <w:ind w:left="360"/>
      <w:contextualSpacing/>
    </w:pPr>
    <w:rPr>
      <w:rFonts w:ascii="Times New Roman" w:hAnsi="Times New Roman"/>
      <w:color w:val="000000"/>
    </w:rPr>
  </w:style>
  <w:style w:type="paragraph" w:styleId="ListContinue2">
    <w:name w:val="List Continue 2"/>
    <w:basedOn w:val="Normal"/>
    <w:uiPriority w:val="99"/>
    <w:unhideWhenUsed/>
    <w:rsid w:val="0029639D"/>
    <w:pPr>
      <w:spacing w:after="120"/>
      <w:ind w:left="720"/>
      <w:contextualSpacing/>
    </w:pPr>
    <w:rPr>
      <w:rFonts w:ascii="Times New Roman" w:hAnsi="Times New Roman"/>
      <w:color w:val="000000"/>
    </w:rPr>
  </w:style>
  <w:style w:type="paragraph" w:styleId="ListContinue3">
    <w:name w:val="List Continue 3"/>
    <w:basedOn w:val="Normal"/>
    <w:uiPriority w:val="99"/>
    <w:unhideWhenUsed/>
    <w:rsid w:val="0029639D"/>
    <w:pPr>
      <w:spacing w:after="120"/>
      <w:ind w:left="1080"/>
      <w:contextualSpacing/>
    </w:pPr>
    <w:rPr>
      <w:rFonts w:ascii="Times New Roman" w:hAnsi="Times New Roman"/>
      <w:color w:val="000000"/>
    </w:r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rFonts w:ascii="Times New Roman" w:hAnsi="Times New Roman"/>
      <w:i/>
      <w:iCs/>
      <w:color w:val="000000"/>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rFonts w:ascii="Times New Roman" w:hAnsi="Times New Roman"/>
      <w:b/>
      <w:bCs/>
      <w:color w:val="000000"/>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rFonts w:ascii="Times New Roman" w:hAnsi="Times New Roman"/>
      <w:b/>
      <w:bCs/>
      <w:i/>
      <w:iCs/>
      <w:color w:val="000000"/>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sallen58@fordham.edu</dc:creator>
  <cp:keywords/>
  <dc:description/>
  <cp:lastModifiedBy/>
  <cp:revision>1</cp:revision>
  <dcterms:created xsi:type="dcterms:W3CDTF">2013-12-23T23:15:00Z</dcterms:created>
  <dcterms:modified xsi:type="dcterms:W3CDTF">2013-12-23T23:15:00Z</dcterms:modified>
  <cp:category/>
</cp:coreProperties>
</file>