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AB0E" w14:textId="77777777" w:rsidR="00356EDA" w:rsidRPr="007F4B54" w:rsidRDefault="00356EDA" w:rsidP="00356EDA">
      <w:pPr>
        <w:rPr>
          <w:b/>
          <w:bCs/>
          <w:sz w:val="24"/>
          <w:szCs w:val="24"/>
        </w:rPr>
      </w:pPr>
      <w:r w:rsidRPr="007F4B54">
        <w:rPr>
          <w:b/>
          <w:bCs/>
          <w:sz w:val="24"/>
          <w:szCs w:val="24"/>
        </w:rPr>
        <w:t>Memorandum</w:t>
      </w:r>
    </w:p>
    <w:p w14:paraId="0952E259" w14:textId="77777777" w:rsidR="00356EDA" w:rsidRPr="007F4B54" w:rsidRDefault="00356EDA" w:rsidP="00356EDA">
      <w:pPr>
        <w:spacing w:after="0"/>
        <w:rPr>
          <w:sz w:val="24"/>
          <w:szCs w:val="24"/>
        </w:rPr>
      </w:pPr>
      <w:r w:rsidRPr="007F4B54">
        <w:rPr>
          <w:b/>
          <w:bCs/>
          <w:sz w:val="24"/>
          <w:szCs w:val="24"/>
        </w:rPr>
        <w:t>Date</w:t>
      </w:r>
      <w:r w:rsidRPr="007F4B54">
        <w:rPr>
          <w:sz w:val="24"/>
          <w:szCs w:val="24"/>
        </w:rPr>
        <w:t>: 4/18/2026</w:t>
      </w:r>
    </w:p>
    <w:p w14:paraId="4BC234E4" w14:textId="77777777" w:rsidR="00356EDA" w:rsidRPr="007F4B54" w:rsidRDefault="00356EDA" w:rsidP="00356EDA">
      <w:pPr>
        <w:spacing w:after="0"/>
        <w:rPr>
          <w:sz w:val="24"/>
          <w:szCs w:val="24"/>
        </w:rPr>
      </w:pPr>
      <w:proofErr w:type="gramStart"/>
      <w:r w:rsidRPr="007F4B54">
        <w:rPr>
          <w:b/>
          <w:bCs/>
          <w:sz w:val="24"/>
          <w:szCs w:val="24"/>
        </w:rPr>
        <w:t>By</w:t>
      </w:r>
      <w:proofErr w:type="gramEnd"/>
      <w:r w:rsidRPr="007F4B54">
        <w:rPr>
          <w:sz w:val="24"/>
          <w:szCs w:val="24"/>
        </w:rPr>
        <w:t>: S. Allen</w:t>
      </w:r>
    </w:p>
    <w:p w14:paraId="7473F062" w14:textId="77777777" w:rsidR="00356EDA" w:rsidRPr="007F4B54" w:rsidRDefault="00356EDA" w:rsidP="00356EDA">
      <w:pPr>
        <w:spacing w:after="0"/>
        <w:rPr>
          <w:sz w:val="24"/>
          <w:szCs w:val="24"/>
        </w:rPr>
      </w:pPr>
    </w:p>
    <w:p w14:paraId="1ED9CC7A" w14:textId="77777777" w:rsidR="00356EDA" w:rsidRPr="007F4B54" w:rsidRDefault="00356EDA" w:rsidP="00356EDA">
      <w:pPr>
        <w:spacing w:after="0"/>
        <w:jc w:val="center"/>
        <w:rPr>
          <w:b/>
          <w:bCs/>
          <w:sz w:val="24"/>
          <w:szCs w:val="24"/>
        </w:rPr>
      </w:pPr>
      <w:r w:rsidRPr="007F4B54">
        <w:rPr>
          <w:b/>
          <w:bCs/>
          <w:sz w:val="24"/>
          <w:szCs w:val="24"/>
        </w:rPr>
        <w:t>Re: C-Corp v. LLC Decision</w:t>
      </w:r>
    </w:p>
    <w:p w14:paraId="248614F3" w14:textId="77777777" w:rsidR="00356EDA" w:rsidRPr="007F4B54" w:rsidRDefault="00356EDA" w:rsidP="00356EDA">
      <w:pPr>
        <w:spacing w:after="0"/>
        <w:rPr>
          <w:b/>
          <w:bCs/>
          <w:sz w:val="24"/>
          <w:szCs w:val="24"/>
        </w:rPr>
      </w:pPr>
    </w:p>
    <w:p w14:paraId="36FF25A0" w14:textId="7FF23CEB" w:rsidR="007F4B54" w:rsidRPr="007F4B54" w:rsidRDefault="007F4B54" w:rsidP="007F4B54">
      <w:pPr>
        <w:spacing w:after="0" w:line="480" w:lineRule="auto"/>
        <w:rPr>
          <w:b/>
          <w:bCs/>
          <w:sz w:val="24"/>
          <w:szCs w:val="24"/>
        </w:rPr>
      </w:pPr>
      <w:r w:rsidRPr="007F4B54">
        <w:rPr>
          <w:b/>
          <w:bCs/>
          <w:sz w:val="24"/>
          <w:szCs w:val="24"/>
        </w:rPr>
        <w:t>Introduction</w:t>
      </w:r>
    </w:p>
    <w:p w14:paraId="616F2033" w14:textId="403E7444" w:rsidR="00356EDA" w:rsidRPr="007F4B54" w:rsidRDefault="00356EDA" w:rsidP="007F4B54">
      <w:pPr>
        <w:spacing w:after="0" w:line="480" w:lineRule="auto"/>
        <w:ind w:firstLine="720"/>
        <w:rPr>
          <w:sz w:val="24"/>
          <w:szCs w:val="24"/>
        </w:rPr>
      </w:pPr>
      <w:r w:rsidRPr="007F4B54">
        <w:rPr>
          <w:sz w:val="24"/>
          <w:szCs w:val="24"/>
        </w:rPr>
        <w:t xml:space="preserve">This memorandum seeks to explain the analysis of the founder’s proposal to file a C-Corp in </w:t>
      </w:r>
      <w:r w:rsidR="007F4B54" w:rsidRPr="007F4B54">
        <w:rPr>
          <w:sz w:val="24"/>
          <w:szCs w:val="24"/>
        </w:rPr>
        <w:t>Delaware</w:t>
      </w:r>
      <w:r w:rsidRPr="007F4B54">
        <w:rPr>
          <w:sz w:val="24"/>
          <w:szCs w:val="24"/>
        </w:rPr>
        <w:t xml:space="preserve"> instead of </w:t>
      </w:r>
      <w:proofErr w:type="gramStart"/>
      <w:r w:rsidRPr="007F4B54">
        <w:rPr>
          <w:sz w:val="24"/>
          <w:szCs w:val="24"/>
        </w:rPr>
        <w:t>a New</w:t>
      </w:r>
      <w:proofErr w:type="gramEnd"/>
      <w:r w:rsidRPr="007F4B54">
        <w:rPr>
          <w:sz w:val="24"/>
          <w:szCs w:val="24"/>
        </w:rPr>
        <w:t xml:space="preserve"> York LLC. The decision to analyze the problem was prompted by advice from an experienced investor. The costs of filing a </w:t>
      </w:r>
      <w:r w:rsidR="007F4B54" w:rsidRPr="007F4B54">
        <w:rPr>
          <w:sz w:val="24"/>
          <w:szCs w:val="24"/>
        </w:rPr>
        <w:t>Delaware</w:t>
      </w:r>
      <w:r w:rsidRPr="007F4B54">
        <w:rPr>
          <w:sz w:val="24"/>
          <w:szCs w:val="24"/>
        </w:rPr>
        <w:t xml:space="preserve"> C-Corp are both lower in the near term (filing fees are lower, no NY publishing requirement for C-Corps) and the long term (starting a New York LLC then converting to a C-Corp to receive funding could cost up to $50,000 in legal fees). </w:t>
      </w:r>
    </w:p>
    <w:p w14:paraId="44FAE965" w14:textId="1BF279FC" w:rsidR="00693314" w:rsidRPr="007F4B54" w:rsidRDefault="00000000" w:rsidP="007F4B54">
      <w:pPr>
        <w:spacing w:after="0" w:line="480" w:lineRule="auto"/>
        <w:jc w:val="center"/>
        <w:rPr>
          <w:sz w:val="24"/>
          <w:szCs w:val="24"/>
        </w:rPr>
      </w:pPr>
      <w:r w:rsidRPr="007F4B54">
        <w:rPr>
          <w:sz w:val="24"/>
          <w:szCs w:val="24"/>
        </w:rPr>
        <w:t>──────────────────────────────────────────────────────</w:t>
      </w:r>
    </w:p>
    <w:p w14:paraId="68D8AE6A" w14:textId="77777777" w:rsidR="00693314" w:rsidRPr="007F4B54" w:rsidRDefault="00000000" w:rsidP="007F4B54">
      <w:pPr>
        <w:pStyle w:val="Heading1"/>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Harvey's Legal Advice — Summary of Recommendations</w:t>
      </w:r>
    </w:p>
    <w:p w14:paraId="5AF3EDD9" w14:textId="0B17FFF1" w:rsidR="00693314" w:rsidRPr="007F4B54" w:rsidRDefault="00000000" w:rsidP="007F4B54">
      <w:pPr>
        <w:spacing w:after="0" w:line="480" w:lineRule="auto"/>
        <w:ind w:firstLine="720"/>
        <w:rPr>
          <w:sz w:val="24"/>
          <w:szCs w:val="24"/>
        </w:rPr>
      </w:pPr>
      <w:r w:rsidRPr="007F4B54">
        <w:rPr>
          <w:sz w:val="24"/>
          <w:szCs w:val="24"/>
        </w:rPr>
        <w:t>The following paragraphs synthesize Harvey's responses to each question posed. They represent the legal recommendations on which this decision should be based.</w:t>
      </w:r>
    </w:p>
    <w:p w14:paraId="5AF88622" w14:textId="77777777" w:rsidR="00693314" w:rsidRPr="007F4B54" w:rsidRDefault="00000000" w:rsidP="007F4B54">
      <w:pPr>
        <w:pStyle w:val="Heading2"/>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Entity Decision: Delaware C-Corporation</w:t>
      </w:r>
    </w:p>
    <w:p w14:paraId="7BAE53D1" w14:textId="32C28676" w:rsidR="00693314" w:rsidRPr="007F4B54" w:rsidRDefault="00000000" w:rsidP="007F4B54">
      <w:pPr>
        <w:spacing w:after="0" w:line="480" w:lineRule="auto"/>
        <w:ind w:firstLine="720"/>
        <w:rPr>
          <w:sz w:val="24"/>
          <w:szCs w:val="24"/>
        </w:rPr>
      </w:pPr>
      <w:r w:rsidRPr="007F4B54">
        <w:rPr>
          <w:sz w:val="24"/>
          <w:szCs w:val="24"/>
        </w:rPr>
        <w:t xml:space="preserve">Harvey recommends the Delaware C-corporation without reservation. The four controlling factors are: (1) virtually all institutional investors require a Delaware C-corp, and conversion mid-fundraise costs $15,000–$50,000 in legal fees with additional tax friction under IRC §708 and §351; (2) stock options (ISOs/NSOs) cannot be cleanly issued from an LLC — only profits interests, which are structurally more complex and require K-1 issuance to every holder; (3) QSBS eligibility under IRC §1202 — potentially $10M+ in tax-free capital gains on exit — is categorically unavailable in the LLC structure; and (4) once the LLC's $395 New York </w:t>
      </w:r>
      <w:r w:rsidRPr="007F4B54">
        <w:rPr>
          <w:sz w:val="24"/>
          <w:szCs w:val="24"/>
        </w:rPr>
        <w:lastRenderedPageBreak/>
        <w:t>publication requirement is excluded from the comparison, the C-corp upfront cost is comparable or lower. Harvey's recommendation is Path B: Delaware C-corporation.</w:t>
      </w:r>
    </w:p>
    <w:p w14:paraId="69D26917" w14:textId="77777777" w:rsidR="00693314" w:rsidRPr="007F4B54" w:rsidRDefault="00000000" w:rsidP="007F4B54">
      <w:pPr>
        <w:pStyle w:val="Heading2"/>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New York Foreign Corporation Registration: Required</w:t>
      </w:r>
    </w:p>
    <w:p w14:paraId="48169469" w14:textId="77777777" w:rsidR="00693314" w:rsidRPr="007F4B54" w:rsidRDefault="00000000" w:rsidP="007F4B54">
      <w:pPr>
        <w:spacing w:after="0" w:line="480" w:lineRule="auto"/>
        <w:ind w:firstLine="720"/>
        <w:rPr>
          <w:sz w:val="24"/>
          <w:szCs w:val="24"/>
        </w:rPr>
      </w:pPr>
      <w:r w:rsidRPr="007F4B54">
        <w:rPr>
          <w:sz w:val="24"/>
          <w:szCs w:val="24"/>
        </w:rPr>
        <w:t xml:space="preserve">Harvey's answer is that registration is required. Sanoj's full-time presence in New York City — directing all operations, making all management decisions, building the product, and (from May 15) accepting customer payments — satisfies the "regular, systematic, and continuous" standard under BCL §1301(a). The relevant test is not whether there </w:t>
      </w:r>
      <w:proofErr w:type="gramStart"/>
      <w:r w:rsidRPr="007F4B54">
        <w:rPr>
          <w:sz w:val="24"/>
          <w:szCs w:val="24"/>
        </w:rPr>
        <w:t>is</w:t>
      </w:r>
      <w:proofErr w:type="gramEnd"/>
      <w:r w:rsidRPr="007F4B54">
        <w:rPr>
          <w:sz w:val="24"/>
          <w:szCs w:val="24"/>
        </w:rPr>
        <w:t xml:space="preserve"> a physical office or employees, but whether company activities in the state are continuous. The consequence of non-registration under BCL §1312 is inability to maintain a lawsuit in New York courts, plus exposure to penalties and back fees. Because registration costs only approximately $275 (Application for Authority: $225, plus Delaware Certificate of Good Standing: ~$50) and carries no publication requirement, Harvey recommends filing the Application for Authority concurrently with or immediately after Delaware incorporation — target May 1.</w:t>
      </w:r>
    </w:p>
    <w:p w14:paraId="2548600E" w14:textId="77777777" w:rsidR="00693314" w:rsidRPr="007F4B54" w:rsidRDefault="00693314" w:rsidP="007F4B54">
      <w:pPr>
        <w:spacing w:after="0" w:line="480" w:lineRule="auto"/>
        <w:rPr>
          <w:sz w:val="24"/>
          <w:szCs w:val="24"/>
        </w:rPr>
      </w:pPr>
    </w:p>
    <w:p w14:paraId="6499BFBE" w14:textId="77777777" w:rsidR="00693314" w:rsidRPr="007F4B54" w:rsidRDefault="00000000" w:rsidP="007F4B54">
      <w:pPr>
        <w:pStyle w:val="Heading2"/>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Required Documents</w:t>
      </w:r>
    </w:p>
    <w:p w14:paraId="1CBD3DF3" w14:textId="072512A9" w:rsidR="00693314" w:rsidRPr="007F4B54" w:rsidRDefault="00000000" w:rsidP="007F4B54">
      <w:pPr>
        <w:spacing w:after="0" w:line="480" w:lineRule="auto"/>
        <w:ind w:firstLine="720"/>
        <w:rPr>
          <w:sz w:val="24"/>
          <w:szCs w:val="24"/>
        </w:rPr>
      </w:pPr>
      <w:r w:rsidRPr="007F4B54">
        <w:rPr>
          <w:sz w:val="24"/>
          <w:szCs w:val="24"/>
        </w:rPr>
        <w:t xml:space="preserve">The existing Operating Agreement and IP Assignment Agreement must be formally terminated via a Mutual Termination Agreement with mutual release. They are replaced by seven instruments: (1) Certificate of Incorporation, filed with the Delaware Secretary of State; (2) Bylaws, governing internal operations, board composition, and officer roles; (3) two Founders' Restricted Stock Purchase Agreements — one per founder — replacing the membership interest structure and including vesting schedules and repurchase rights; (4) a new IP Assignment Agreement from Sanoj Allen individually to the C-corporation, replicating the language of the original assignment per 17 U.S.C. §204(a) but naming the Delaware entity as assignee; (5) a </w:t>
      </w:r>
      <w:r w:rsidRPr="007F4B54">
        <w:rPr>
          <w:sz w:val="24"/>
          <w:szCs w:val="24"/>
        </w:rPr>
        <w:lastRenderedPageBreak/>
        <w:t>Board Consent / Action by Incorporator authorizing share issuance, adopting bylaws, and appointing officers; (6) two 83(b) elections, one per founder, filed with the IRS within 30 days of restricted stock purchase; and (7) a Confidentiality and IP Assignment Agreement (CIIAA) for Will, assigning any work product to the corporation and confirming no use of employer resources.</w:t>
      </w:r>
    </w:p>
    <w:p w14:paraId="22FE4E66" w14:textId="77777777" w:rsidR="00693314" w:rsidRPr="007F4B54" w:rsidRDefault="00000000" w:rsidP="007F4B54">
      <w:pPr>
        <w:pStyle w:val="Heading2"/>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Equity Structure and Economics</w:t>
      </w:r>
    </w:p>
    <w:p w14:paraId="08C3C843" w14:textId="27AF00C3" w:rsidR="00693314" w:rsidRPr="007F4B54" w:rsidRDefault="00000000" w:rsidP="007F4B54">
      <w:pPr>
        <w:spacing w:after="0" w:line="480" w:lineRule="auto"/>
        <w:ind w:firstLine="720"/>
        <w:rPr>
          <w:sz w:val="24"/>
          <w:szCs w:val="24"/>
        </w:rPr>
      </w:pPr>
      <w:r w:rsidRPr="007F4B54">
        <w:rPr>
          <w:sz w:val="24"/>
          <w:szCs w:val="24"/>
        </w:rPr>
        <w:t xml:space="preserve">Harvey recommends authorizing 10,000,000 shares of common stock at $0.0001 par value. Sanoj purchases 7,500,000 shares at $750 total, with consideration being the IP assignment plus past and ongoing sweat equity. Will purchases 2,500,000 shares at $250 cash — both founders at the same par value, which avoids any argument about disparate pricing and simplifies future 409A valuation. Will's remaining $3,250 from his $3,500 commitment is documented via board resolution as a capital contribution with no expectation of repayment, covering early startup expenses (NCBE licensing, formation costs). His ongoing ~$550/month operating cost contributions are similarly documented as capital contributions by board resolution — not equity-bearing, not loans — so the 75/25 split remains </w:t>
      </w:r>
      <w:proofErr w:type="gramStart"/>
      <w:r w:rsidRPr="007F4B54">
        <w:rPr>
          <w:sz w:val="24"/>
          <w:szCs w:val="24"/>
        </w:rPr>
        <w:t>fixed</w:t>
      </w:r>
      <w:proofErr w:type="gramEnd"/>
      <w:r w:rsidRPr="007F4B54">
        <w:rPr>
          <w:sz w:val="24"/>
          <w:szCs w:val="24"/>
        </w:rPr>
        <w:t xml:space="preserve"> and no additional agreement is required.</w:t>
      </w:r>
    </w:p>
    <w:p w14:paraId="59E65A0D" w14:textId="77777777" w:rsidR="00693314" w:rsidRPr="007F4B54" w:rsidRDefault="00000000" w:rsidP="007F4B54">
      <w:pPr>
        <w:pStyle w:val="Heading2"/>
        <w:spacing w:before="0" w:after="0" w:line="480" w:lineRule="auto"/>
        <w:rPr>
          <w:rFonts w:ascii="Times New Roman" w:hAnsi="Times New Roman" w:cs="Times New Roman"/>
          <w:color w:val="auto"/>
          <w:sz w:val="24"/>
          <w:szCs w:val="24"/>
        </w:rPr>
      </w:pPr>
      <w:r w:rsidRPr="007F4B54">
        <w:rPr>
          <w:rFonts w:ascii="Times New Roman" w:hAnsi="Times New Roman" w:cs="Times New Roman"/>
          <w:b/>
          <w:color w:val="auto"/>
          <w:sz w:val="24"/>
          <w:szCs w:val="24"/>
        </w:rPr>
        <w:t>Timeline: What Must Be in Place Before May 15</w:t>
      </w:r>
    </w:p>
    <w:p w14:paraId="5527E7FD" w14:textId="77777777" w:rsidR="007F4B54" w:rsidRDefault="00000000" w:rsidP="007F4B54">
      <w:pPr>
        <w:spacing w:after="0" w:line="480" w:lineRule="auto"/>
        <w:ind w:firstLine="720"/>
        <w:rPr>
          <w:sz w:val="24"/>
          <w:szCs w:val="24"/>
        </w:rPr>
      </w:pPr>
      <w:r w:rsidRPr="007F4B54">
        <w:rPr>
          <w:sz w:val="24"/>
          <w:szCs w:val="24"/>
        </w:rPr>
        <w:t xml:space="preserve">Harvey identifies five prerequisites before accepting the first customer payment on May 15: (1) Delaware entity formation — a legal entity must exist before revenue is accepted; (2) EIN from IRS.gov, obtained online immediately after receiving the Certificate of Incorporation and issued in minutes; (3) a business bank account in the corporation's name, requiring the Certificate of Incorporation, EIN confirmation letter, and a board resolution authorizing the account (Mercury, Brex, or Chase; 1–3 business days); (4) the Stripe business account updated to the </w:t>
      </w:r>
      <w:r w:rsidRPr="007F4B54">
        <w:rPr>
          <w:sz w:val="24"/>
          <w:szCs w:val="24"/>
        </w:rPr>
        <w:lastRenderedPageBreak/>
        <w:t xml:space="preserve">corporation's name and EIN; and (5) New York foreign corporation registration filed, allowing 7–10 business days for standard processing or 24-hour expedited service for approximately $25 additional. Founder stock issuance, 83(b) elections, the IP assignment, and the equity incentive plan can follow shortly after May 15 — but the 83(b) clock begins running from the stock issuance date, </w:t>
      </w:r>
    </w:p>
    <w:p w14:paraId="6331F4CA" w14:textId="22847869" w:rsidR="007F4B54" w:rsidRDefault="00000000" w:rsidP="007F4B54">
      <w:pPr>
        <w:spacing w:after="0" w:line="480" w:lineRule="auto"/>
        <w:rPr>
          <w:sz w:val="24"/>
          <w:szCs w:val="24"/>
        </w:rPr>
      </w:pPr>
      <w:r w:rsidRPr="007F4B54">
        <w:rPr>
          <w:sz w:val="24"/>
          <w:szCs w:val="24"/>
        </w:rPr>
        <w:t>not the revenue date, so these should be comple</w:t>
      </w:r>
      <w:r w:rsidR="007F4B54">
        <w:rPr>
          <w:sz w:val="24"/>
          <w:szCs w:val="24"/>
        </w:rPr>
        <w:t>t</w:t>
      </w:r>
      <w:r w:rsidRPr="007F4B54">
        <w:rPr>
          <w:sz w:val="24"/>
          <w:szCs w:val="24"/>
        </w:rPr>
        <w:t>ed as quickly as practicable after formation.</w:t>
      </w:r>
    </w:p>
    <w:p w14:paraId="2774D522" w14:textId="259986CD" w:rsidR="007F4B54" w:rsidRDefault="007F4B54" w:rsidP="007F4B54">
      <w:pPr>
        <w:spacing w:after="0" w:line="480" w:lineRule="auto"/>
        <w:jc w:val="center"/>
        <w:rPr>
          <w:b/>
          <w:bCs/>
          <w:sz w:val="24"/>
          <w:szCs w:val="24"/>
        </w:rPr>
      </w:pPr>
      <w:r>
        <w:rPr>
          <w:b/>
          <w:bCs/>
          <w:sz w:val="24"/>
          <w:szCs w:val="24"/>
        </w:rPr>
        <w:t>+++</w:t>
      </w:r>
    </w:p>
    <w:p w14:paraId="5AD22A17" w14:textId="2D1F5E63" w:rsidR="007F4B54" w:rsidRPr="007F4B54" w:rsidRDefault="007F4B54" w:rsidP="007F4B54">
      <w:pPr>
        <w:spacing w:after="0" w:line="480" w:lineRule="auto"/>
        <w:jc w:val="center"/>
        <w:rPr>
          <w:b/>
          <w:bCs/>
          <w:sz w:val="24"/>
          <w:szCs w:val="24"/>
        </w:rPr>
      </w:pPr>
      <w:r w:rsidRPr="007F4B54">
        <w:rPr>
          <w:b/>
          <w:bCs/>
          <w:sz w:val="24"/>
          <w:szCs w:val="24"/>
        </w:rPr>
        <w:t xml:space="preserve">Additional Note: </w:t>
      </w:r>
      <w:r w:rsidRPr="007F4B54">
        <w:rPr>
          <w:b/>
          <w:bCs/>
          <w:sz w:val="24"/>
          <w:szCs w:val="24"/>
        </w:rPr>
        <w:t>Short Term Requirement – 83(b) Election within 30 Days of Issue Stock</w:t>
      </w:r>
    </w:p>
    <w:p w14:paraId="4BA58B59" w14:textId="77777777" w:rsidR="007F4B54" w:rsidRPr="007F4B54" w:rsidRDefault="007F4B54" w:rsidP="007F4B54">
      <w:pPr>
        <w:spacing w:after="0" w:line="480" w:lineRule="auto"/>
        <w:ind w:firstLine="720"/>
        <w:rPr>
          <w:sz w:val="24"/>
          <w:szCs w:val="24"/>
        </w:rPr>
      </w:pPr>
      <w:r w:rsidRPr="007F4B54">
        <w:rPr>
          <w:sz w:val="24"/>
          <w:szCs w:val="24"/>
        </w:rPr>
        <w:t>Here is a breakdown of what the 83(b) election is, followed by how expense write-offs work depending on the entity structure you choose.</w:t>
      </w:r>
    </w:p>
    <w:p w14:paraId="28DFAAC1" w14:textId="77777777" w:rsidR="007F4B54" w:rsidRPr="007F4B54" w:rsidRDefault="007F4B54" w:rsidP="007F4B54">
      <w:pPr>
        <w:spacing w:after="0" w:line="480" w:lineRule="auto"/>
        <w:rPr>
          <w:b/>
          <w:bCs/>
          <w:sz w:val="24"/>
          <w:szCs w:val="24"/>
        </w:rPr>
      </w:pPr>
      <w:r w:rsidRPr="007F4B54">
        <w:rPr>
          <w:b/>
          <w:bCs/>
          <w:sz w:val="24"/>
          <w:szCs w:val="24"/>
        </w:rPr>
        <w:t>The 83(b) Election: The "Tax Me Now" Cheat Code</w:t>
      </w:r>
    </w:p>
    <w:p w14:paraId="27A6644A" w14:textId="77777777" w:rsidR="007F4B54" w:rsidRPr="007F4B54" w:rsidRDefault="007F4B54" w:rsidP="007F4B54">
      <w:pPr>
        <w:spacing w:after="0" w:line="480" w:lineRule="auto"/>
        <w:ind w:firstLine="720"/>
        <w:rPr>
          <w:sz w:val="24"/>
          <w:szCs w:val="24"/>
        </w:rPr>
      </w:pPr>
      <w:r w:rsidRPr="007F4B54">
        <w:rPr>
          <w:sz w:val="24"/>
          <w:szCs w:val="24"/>
        </w:rPr>
        <w:t>When you grant 25% equity to your co-founder Will Groves (New York City) (and take your 75%), shares are typically placed on a vesting schedule. The founders have decided to forgo vesting and will distribute stock immediately upon formation. Both Sanoj (7,500,000 shares) and Will Groves (2,500,000 shares) will receive their full allocation at issuance with no repurchase rights tied to continued service. The 83(b) election remains relevant because the stock purchase price is still near zero.</w:t>
      </w:r>
    </w:p>
    <w:p w14:paraId="35622ADF" w14:textId="77777777" w:rsidR="007F4B54" w:rsidRPr="007F4B54" w:rsidRDefault="007F4B54" w:rsidP="007F4B54">
      <w:pPr>
        <w:spacing w:after="0" w:line="480" w:lineRule="auto"/>
        <w:ind w:firstLine="360"/>
        <w:rPr>
          <w:sz w:val="24"/>
          <w:szCs w:val="24"/>
        </w:rPr>
      </w:pPr>
      <w:r w:rsidRPr="007F4B54">
        <w:rPr>
          <w:sz w:val="24"/>
          <w:szCs w:val="24"/>
        </w:rPr>
        <w:t xml:space="preserve">By default, the IRS taxes restricted, vesting stock as ordinary income </w:t>
      </w:r>
      <w:r w:rsidRPr="007F4B54">
        <w:rPr>
          <w:b/>
          <w:bCs/>
          <w:sz w:val="24"/>
          <w:szCs w:val="24"/>
        </w:rPr>
        <w:t>at the time it vests</w:t>
      </w:r>
      <w:r w:rsidRPr="007F4B54">
        <w:rPr>
          <w:sz w:val="24"/>
          <w:szCs w:val="24"/>
        </w:rPr>
        <w:t>, based on the Fair Market Value (FMV) of the company on that specific day.</w:t>
      </w:r>
    </w:p>
    <w:p w14:paraId="12138B80" w14:textId="77777777" w:rsidR="007F4B54" w:rsidRPr="007F4B54" w:rsidRDefault="007F4B54" w:rsidP="007F4B54">
      <w:pPr>
        <w:numPr>
          <w:ilvl w:val="0"/>
          <w:numId w:val="1"/>
        </w:numPr>
        <w:spacing w:after="0" w:line="480" w:lineRule="auto"/>
        <w:rPr>
          <w:sz w:val="24"/>
          <w:szCs w:val="24"/>
        </w:rPr>
      </w:pPr>
      <w:r w:rsidRPr="007F4B54">
        <w:rPr>
          <w:b/>
          <w:bCs/>
          <w:sz w:val="24"/>
          <w:szCs w:val="24"/>
        </w:rPr>
        <w:t>The Problem:</w:t>
      </w:r>
      <w:r w:rsidRPr="007F4B54">
        <w:rPr>
          <w:sz w:val="24"/>
          <w:szCs w:val="24"/>
        </w:rPr>
        <w:t xml:space="preserve"> If you </w:t>
      </w:r>
      <w:proofErr w:type="gramStart"/>
      <w:r w:rsidRPr="007F4B54">
        <w:rPr>
          <w:sz w:val="24"/>
          <w:szCs w:val="24"/>
        </w:rPr>
        <w:t>bootstrap</w:t>
      </w:r>
      <w:proofErr w:type="gramEnd"/>
      <w:r w:rsidRPr="007F4B54">
        <w:rPr>
          <w:sz w:val="24"/>
          <w:szCs w:val="24"/>
        </w:rPr>
        <w:t xml:space="preserve"> the legal platform successfully and it becomes highly valuable in three years, the shares vesting at that time will be worth significantly more. You and Will Groves would be hit with massive ordinary income tax bills just for holding your shares.</w:t>
      </w:r>
    </w:p>
    <w:p w14:paraId="12DB62DA" w14:textId="77777777" w:rsidR="007F4B54" w:rsidRPr="007F4B54" w:rsidRDefault="007F4B54" w:rsidP="007F4B54">
      <w:pPr>
        <w:numPr>
          <w:ilvl w:val="0"/>
          <w:numId w:val="1"/>
        </w:numPr>
        <w:spacing w:after="0" w:line="480" w:lineRule="auto"/>
        <w:rPr>
          <w:sz w:val="24"/>
          <w:szCs w:val="24"/>
        </w:rPr>
      </w:pPr>
      <w:r w:rsidRPr="007F4B54">
        <w:rPr>
          <w:b/>
          <w:bCs/>
          <w:sz w:val="24"/>
          <w:szCs w:val="24"/>
        </w:rPr>
        <w:lastRenderedPageBreak/>
        <w:t>The Solution:</w:t>
      </w:r>
      <w:r w:rsidRPr="007F4B54">
        <w:rPr>
          <w:sz w:val="24"/>
          <w:szCs w:val="24"/>
        </w:rPr>
        <w:t xml:space="preserve"> Filing an 83(b) election tells the IRS, "Please tax me on the value of all my shares </w:t>
      </w:r>
      <w:r w:rsidRPr="007F4B54">
        <w:rPr>
          <w:i/>
          <w:iCs/>
          <w:sz w:val="24"/>
          <w:szCs w:val="24"/>
        </w:rPr>
        <w:t>today</w:t>
      </w:r>
      <w:r w:rsidRPr="007F4B54">
        <w:rPr>
          <w:sz w:val="24"/>
          <w:szCs w:val="24"/>
        </w:rPr>
        <w:t>, before they vest."</w:t>
      </w:r>
    </w:p>
    <w:p w14:paraId="056C0543" w14:textId="77777777" w:rsidR="007F4B54" w:rsidRPr="007F4B54" w:rsidRDefault="007F4B54" w:rsidP="007F4B54">
      <w:pPr>
        <w:numPr>
          <w:ilvl w:val="0"/>
          <w:numId w:val="1"/>
        </w:numPr>
        <w:spacing w:after="0" w:line="480" w:lineRule="auto"/>
        <w:rPr>
          <w:sz w:val="24"/>
          <w:szCs w:val="24"/>
        </w:rPr>
      </w:pPr>
      <w:r w:rsidRPr="007F4B54">
        <w:rPr>
          <w:b/>
          <w:bCs/>
          <w:sz w:val="24"/>
          <w:szCs w:val="24"/>
        </w:rPr>
        <w:t>The Result:</w:t>
      </w:r>
      <w:r w:rsidRPr="007F4B54">
        <w:rPr>
          <w:sz w:val="24"/>
          <w:szCs w:val="24"/>
        </w:rPr>
        <w:t xml:space="preserve"> Because you are just forming the company, the FMV of those shares today is essentially zero. You pay little to no tax upfront, and more importantly, all future appreciation in the company's value will be taxed at the much lower capital gains rate when you eventually sell the business.</w:t>
      </w:r>
    </w:p>
    <w:p w14:paraId="1C129A6F" w14:textId="77777777" w:rsidR="007F4B54" w:rsidRPr="007F4B54" w:rsidRDefault="007F4B54" w:rsidP="007F4B54">
      <w:pPr>
        <w:spacing w:after="0" w:line="480" w:lineRule="auto"/>
        <w:rPr>
          <w:sz w:val="24"/>
          <w:szCs w:val="24"/>
        </w:rPr>
      </w:pPr>
      <w:r w:rsidRPr="007F4B54">
        <w:rPr>
          <w:b/>
          <w:bCs/>
          <w:sz w:val="24"/>
          <w:szCs w:val="24"/>
        </w:rPr>
        <w:t>Crucial Rule:</w:t>
      </w:r>
      <w:r w:rsidRPr="007F4B54">
        <w:rPr>
          <w:sz w:val="24"/>
          <w:szCs w:val="24"/>
        </w:rPr>
        <w:t xml:space="preserve"> The IRS enforces a strict </w:t>
      </w:r>
      <w:r w:rsidRPr="007F4B54">
        <w:rPr>
          <w:b/>
          <w:bCs/>
          <w:sz w:val="24"/>
          <w:szCs w:val="24"/>
        </w:rPr>
        <w:t>30-day deadline</w:t>
      </w:r>
      <w:r w:rsidRPr="007F4B54">
        <w:rPr>
          <w:sz w:val="24"/>
          <w:szCs w:val="24"/>
        </w:rPr>
        <w:t xml:space="preserve"> to file this election from the date the shares are granted. If you miss it by even one day, you are locked into the default tax treatment. Fortunately, the IRS recently introduced Form 15620, allowing founders to e-file the election online rather than relying on certified mail.</w:t>
      </w:r>
    </w:p>
    <w:p w14:paraId="66FEDF87" w14:textId="77777777" w:rsidR="007F4B54" w:rsidRPr="007F4B54" w:rsidRDefault="007F4B54">
      <w:pPr>
        <w:rPr>
          <w:sz w:val="24"/>
          <w:szCs w:val="24"/>
        </w:rPr>
      </w:pPr>
    </w:p>
    <w:sectPr w:rsidR="007F4B54" w:rsidRPr="007F4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2623" w14:textId="77777777" w:rsidR="00B61009" w:rsidRDefault="00B61009" w:rsidP="00356EDA">
      <w:pPr>
        <w:spacing w:after="0" w:line="240" w:lineRule="auto"/>
      </w:pPr>
      <w:r>
        <w:separator/>
      </w:r>
    </w:p>
  </w:endnote>
  <w:endnote w:type="continuationSeparator" w:id="0">
    <w:p w14:paraId="2B95C042" w14:textId="77777777" w:rsidR="00B61009" w:rsidRDefault="00B61009" w:rsidP="0035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4CF2" w14:textId="77777777" w:rsidR="00B61009" w:rsidRDefault="00B61009" w:rsidP="00356EDA">
      <w:pPr>
        <w:spacing w:after="0" w:line="240" w:lineRule="auto"/>
      </w:pPr>
      <w:r>
        <w:separator/>
      </w:r>
    </w:p>
  </w:footnote>
  <w:footnote w:type="continuationSeparator" w:id="0">
    <w:p w14:paraId="7D5948E1" w14:textId="77777777" w:rsidR="00B61009" w:rsidRDefault="00B61009" w:rsidP="00356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232D6"/>
    <w:multiLevelType w:val="multilevel"/>
    <w:tmpl w:val="F23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20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DA"/>
    <w:rsid w:val="002E0F95"/>
    <w:rsid w:val="00356EDA"/>
    <w:rsid w:val="00693314"/>
    <w:rsid w:val="006E2E21"/>
    <w:rsid w:val="007F4B54"/>
    <w:rsid w:val="008904B6"/>
    <w:rsid w:val="009920C5"/>
    <w:rsid w:val="00B61009"/>
    <w:rsid w:val="00CD7363"/>
    <w:rsid w:val="00E6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13F6"/>
  <w15:chartTrackingRefBased/>
  <w15:docId w15:val="{AB0F1165-3FE7-4873-A3D9-2940B4EA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6E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E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E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E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E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E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E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E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E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EDA"/>
    <w:pPr>
      <w:spacing w:before="160"/>
      <w:jc w:val="center"/>
    </w:pPr>
    <w:rPr>
      <w:i/>
      <w:iCs/>
      <w:color w:val="404040" w:themeColor="text1" w:themeTint="BF"/>
    </w:rPr>
  </w:style>
  <w:style w:type="character" w:customStyle="1" w:styleId="QuoteChar">
    <w:name w:val="Quote Char"/>
    <w:basedOn w:val="DefaultParagraphFont"/>
    <w:link w:val="Quote"/>
    <w:uiPriority w:val="29"/>
    <w:rsid w:val="00356EDA"/>
    <w:rPr>
      <w:i/>
      <w:iCs/>
      <w:color w:val="404040" w:themeColor="text1" w:themeTint="BF"/>
    </w:rPr>
  </w:style>
  <w:style w:type="paragraph" w:styleId="ListParagraph">
    <w:name w:val="List Paragraph"/>
    <w:basedOn w:val="Normal"/>
    <w:uiPriority w:val="34"/>
    <w:qFormat/>
    <w:rsid w:val="00356EDA"/>
    <w:pPr>
      <w:ind w:left="720"/>
      <w:contextualSpacing/>
    </w:pPr>
  </w:style>
  <w:style w:type="character" w:styleId="IntenseEmphasis">
    <w:name w:val="Intense Emphasis"/>
    <w:basedOn w:val="DefaultParagraphFont"/>
    <w:uiPriority w:val="21"/>
    <w:qFormat/>
    <w:rsid w:val="00356EDA"/>
    <w:rPr>
      <w:i/>
      <w:iCs/>
      <w:color w:val="0F4761" w:themeColor="accent1" w:themeShade="BF"/>
    </w:rPr>
  </w:style>
  <w:style w:type="paragraph" w:styleId="IntenseQuote">
    <w:name w:val="Intense Quote"/>
    <w:basedOn w:val="Normal"/>
    <w:next w:val="Normal"/>
    <w:link w:val="IntenseQuoteChar"/>
    <w:uiPriority w:val="30"/>
    <w:qFormat/>
    <w:rsid w:val="0035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DA"/>
    <w:rPr>
      <w:i/>
      <w:iCs/>
      <w:color w:val="0F4761" w:themeColor="accent1" w:themeShade="BF"/>
    </w:rPr>
  </w:style>
  <w:style w:type="character" w:styleId="IntenseReference">
    <w:name w:val="Intense Reference"/>
    <w:basedOn w:val="DefaultParagraphFont"/>
    <w:uiPriority w:val="32"/>
    <w:qFormat/>
    <w:rsid w:val="00356EDA"/>
    <w:rPr>
      <w:b/>
      <w:bCs/>
      <w:smallCaps/>
      <w:color w:val="0F4761" w:themeColor="accent1" w:themeShade="BF"/>
      <w:spacing w:val="5"/>
    </w:rPr>
  </w:style>
  <w:style w:type="paragraph" w:styleId="Header">
    <w:name w:val="header"/>
    <w:basedOn w:val="Normal"/>
    <w:link w:val="HeaderChar"/>
    <w:uiPriority w:val="99"/>
    <w:unhideWhenUsed/>
    <w:rsid w:val="00356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DA"/>
  </w:style>
  <w:style w:type="paragraph" w:styleId="Footer">
    <w:name w:val="footer"/>
    <w:basedOn w:val="Normal"/>
    <w:link w:val="FooterChar"/>
    <w:uiPriority w:val="99"/>
    <w:unhideWhenUsed/>
    <w:rsid w:val="00356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Sanoj Allen</dc:creator>
  <cp:keywords/>
  <dc:description/>
  <cp:lastModifiedBy>Sanoj Allen</cp:lastModifiedBy>
  <cp:revision>2</cp:revision>
  <dcterms:created xsi:type="dcterms:W3CDTF">2026-04-18T16:39:00Z</dcterms:created>
  <dcterms:modified xsi:type="dcterms:W3CDTF">2026-04-18T17:23:00Z</dcterms:modified>
</cp:coreProperties>
</file>