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A1A2E"/>
          <w:sz w:val="36"/>
        </w:rPr>
        <w:t>S H E P</w:t>
      </w:r>
    </w:p>
    <w:p>
      <w:pPr>
        <w:jc w:val="center"/>
      </w:pPr>
      <w:r>
        <w:rPr>
          <w:color w:val="666666"/>
          <w:sz w:val="18"/>
        </w:rPr>
        <w:t>Durham Lex Inc.  |  Delaware C-Corporation</w:t>
      </w:r>
    </w:p>
    <w:p/>
    <w:p>
      <w:pPr>
        <w:jc w:val="center"/>
      </w:pPr>
      <w:r>
        <w:rPr>
          <w:b/>
          <w:sz w:val="26"/>
        </w:rPr>
        <w:t>ACCOUNTABLE PLAN</w:t>
      </w:r>
    </w:p>
    <w:p>
      <w:pPr>
        <w:jc w:val="center"/>
      </w:pPr>
      <w:r>
        <w:rPr>
          <w:i/>
        </w:rPr>
        <w:t>Employee Business Expense Reimbursement Policy</w:t>
      </w:r>
    </w:p>
    <w:p/>
    <w:p>
      <w:pPr>
        <w:spacing w:after="160"/>
      </w:pPr>
      <w:r>
        <w:t>Adopted by Board Resolution on: ______________, 2026</w:t>
      </w:r>
    </w:p>
    <w:p>
      <w:pPr>
        <w:spacing w:after="160"/>
      </w:pPr>
      <w:r>
        <w:t>Effective Date: ______________, 2026</w:t>
      </w:r>
    </w:p>
    <w:p/>
    <w:p>
      <w:r>
        <w:rPr>
          <w:b/>
          <w:sz w:val="22"/>
        </w:rPr>
        <w:t>1. Purpose</w:t>
      </w:r>
    </w:p>
    <w:p>
      <w:pPr>
        <w:spacing w:after="160"/>
      </w:pPr>
      <w:r>
        <w:t>Durham Lex Inc. (the "Company") adopts this Accountable Plan under Treasury Regulation Section 1.62-2 to reimburse employees for ordinary and necessary business expenses they pay personally. Reimbursements that satisfy this Plan are deductible to the Company and excluded from the employee's gross income. Reimbursements that fail to satisfy this Plan are treated as taxable wages.</w:t>
      </w:r>
    </w:p>
    <w:p>
      <w:r>
        <w:rPr>
          <w:b/>
          <w:sz w:val="22"/>
        </w:rPr>
        <w:t>2. Eligible Expenses</w:t>
      </w:r>
    </w:p>
    <w:p>
      <w:pPr>
        <w:spacing w:after="160"/>
      </w:pPr>
      <w:r>
        <w:t>The Company will reimburse business expenses that are ordinary, necessary, and incurred in the performance of services for the Company, including: the business-use portion of home internet and mobile phone service; software, SaaS, AI, and cloud infrastructure used for Company work; business travel, lodging, and meals subject to applicable limits; and office supplies and equipment used for Company work.</w:t>
      </w:r>
    </w:p>
    <w:p>
      <w:r>
        <w:rPr>
          <w:b/>
          <w:sz w:val="22"/>
        </w:rPr>
        <w:t>3. Home-Office Business-Use Percentages</w:t>
      </w:r>
    </w:p>
    <w:p>
      <w:pPr>
        <w:spacing w:after="160"/>
      </w:pPr>
      <w:r>
        <w:t>The following default percentages apply unless a different allocation is documented and substantiated:</w:t>
      </w:r>
    </w:p>
    <w:tbl>
      <w:tblPr>
        <w:tblStyle w:val="LightGrid-Accent1"/>
        <w:tblW w:type="auto" w:w="0"/>
        <w:tblLook w:firstColumn="1" w:firstRow="1" w:lastColumn="0" w:lastRow="0" w:noHBand="0" w:noVBand="1" w:val="04A0"/>
      </w:tblPr>
      <w:tblGrid>
        <w:gridCol w:w="4680"/>
        <w:gridCol w:w="4680"/>
      </w:tblGrid>
      <w:tr>
        <w:tc>
          <w:tcPr>
            <w:tcW w:type="dxa" w:w="4680"/>
          </w:tcPr>
          <w:p>
            <w:r/>
            <w:r>
              <w:rPr>
                <w:b/>
                <w:sz w:val="20"/>
              </w:rPr>
              <w:t>Expense</w:t>
            </w:r>
          </w:p>
        </w:tc>
        <w:tc>
          <w:tcPr>
            <w:tcW w:type="dxa" w:w="4680"/>
          </w:tcPr>
          <w:p>
            <w:r/>
            <w:r>
              <w:rPr>
                <w:b/>
                <w:sz w:val="20"/>
              </w:rPr>
              <w:t>Default business-use share</w:t>
            </w:r>
          </w:p>
        </w:tc>
      </w:tr>
      <w:tr>
        <w:tc>
          <w:tcPr>
            <w:tcW w:type="dxa" w:w="4680"/>
          </w:tcPr>
          <w:p>
            <w:r/>
            <w:r>
              <w:rPr>
                <w:sz w:val="20"/>
              </w:rPr>
              <w:t>Home internet</w:t>
            </w:r>
          </w:p>
        </w:tc>
        <w:tc>
          <w:tcPr>
            <w:tcW w:type="dxa" w:w="4680"/>
          </w:tcPr>
          <w:p>
            <w:pPr>
              <w:jc w:val="right"/>
            </w:pPr>
            <w:r/>
            <w:r>
              <w:rPr>
                <w:sz w:val="20"/>
              </w:rPr>
              <w:t>50%</w:t>
            </w:r>
          </w:p>
        </w:tc>
      </w:tr>
      <w:tr>
        <w:tc>
          <w:tcPr>
            <w:tcW w:type="dxa" w:w="4680"/>
          </w:tcPr>
          <w:p>
            <w:r/>
            <w:r>
              <w:rPr>
                <w:sz w:val="20"/>
              </w:rPr>
              <w:t>Mobile phone</w:t>
            </w:r>
          </w:p>
        </w:tc>
        <w:tc>
          <w:tcPr>
            <w:tcW w:type="dxa" w:w="4680"/>
          </w:tcPr>
          <w:p>
            <w:pPr>
              <w:jc w:val="right"/>
            </w:pPr>
            <w:r/>
            <w:r>
              <w:rPr>
                <w:sz w:val="20"/>
              </w:rPr>
              <w:t>50%</w:t>
            </w:r>
          </w:p>
        </w:tc>
      </w:tr>
    </w:tbl>
    <w:p>
      <w:pPr>
        <w:spacing w:after="160"/>
      </w:pPr>
      <w:r>
        <w:t>Rent and home utilities are reimbursable only where a portion of the home is used regularly and exclusively for Company work. Space used for both business and personal purposes does not qualify.</w:t>
      </w:r>
    </w:p>
    <w:p>
      <w:r>
        <w:rPr>
          <w:b/>
          <w:sz w:val="22"/>
        </w:rPr>
        <w:t>4. Substantiation Requirements (Reg. 1.62-2(e))</w:t>
      </w:r>
    </w:p>
    <w:p>
      <w:pPr>
        <w:spacing w:after="160"/>
      </w:pPr>
      <w:r>
        <w:t>For each expense, the employee must submit to the Company, within 60 days of incurring the expense: (1) the amount; (2) the date; (3) the business purpose; and (4) for mixed-use items, the business-use percentage claimed and the basis for it. Original receipts or invoices must accompany each request. Requests without adequate substantiation will not be reimbursed.</w:t>
      </w:r>
    </w:p>
    <w:p>
      <w:r>
        <w:rPr>
          <w:b/>
          <w:sz w:val="22"/>
        </w:rPr>
        <w:t>5. Return of Excess Amounts (Reg. 1.62-2(f))</w:t>
      </w:r>
    </w:p>
    <w:p>
      <w:pPr>
        <w:spacing w:after="160"/>
      </w:pPr>
      <w:r>
        <w:t>If the Company advances funds, any amount in excess of substantiated expenses must be returned to the Company within 120 days of the expense being incurred. Amounts neither substantiated nor returned within the required periods will be reported as taxable wages.</w:t>
      </w:r>
    </w:p>
    <w:p>
      <w:r>
        <w:rPr>
          <w:b/>
          <w:sz w:val="22"/>
        </w:rPr>
        <w:t>6. Timing of Reimbursement</w:t>
      </w:r>
    </w:p>
    <w:p>
      <w:pPr>
        <w:spacing w:after="160"/>
      </w:pPr>
      <w:r>
        <w:t>The Company will reimburse approved, substantiated requests within 30 days of approval. The employee pays the underlying expense personally and submits it for reimbursement. The Company will not pay personal accounts directly.</w:t>
      </w:r>
    </w:p>
    <w:p>
      <w:r>
        <w:rPr>
          <w:b/>
          <w:sz w:val="22"/>
        </w:rPr>
        <w:t>7. No Salary Reduction</w:t>
      </w:r>
    </w:p>
    <w:p>
      <w:pPr>
        <w:spacing w:after="160"/>
      </w:pPr>
      <w:r>
        <w:t>Reimbursements under this Plan are paid in addition to, and not in substitution for, any salary or other compensation.</w:t>
      </w:r>
    </w:p>
    <w:p>
      <w:r>
        <w:rPr>
          <w:b/>
          <w:sz w:val="22"/>
        </w:rPr>
        <w:t>8. Administration and Recordkeeping</w:t>
      </w:r>
    </w:p>
    <w:p>
      <w:pPr>
        <w:spacing w:after="160"/>
      </w:pPr>
      <w:r>
        <w:t>The President administers this Plan, reviews submissions, and approves reimbursements. The Company will retain all substantiation records for at least four years.</w:t>
      </w:r>
    </w:p>
    <w:p/>
    <w:p>
      <w:pPr>
        <w:spacing w:after="160"/>
      </w:pPr>
      <w:r>
        <w:t>ADOPTED BY THE BOARD OF DIRECTORS OF DURHAM LEX INC.</w:t>
      </w:r>
    </w:p>
    <w:p/>
    <w:p>
      <w:pPr>
        <w:spacing w:after="40"/>
      </w:pPr>
      <w:r>
        <w:t>_______________________________</w:t>
      </w:r>
    </w:p>
    <w:p>
      <w:pPr>
        <w:spacing w:after="40"/>
      </w:pPr>
      <w:r>
        <w:t>Sanoj Allen, President and Director</w:t>
      </w:r>
    </w:p>
    <w:p>
      <w:r>
        <w:t>Date: ______________</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