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NCBE Copyright Infringement Risk: Does the “No Server-Side Prompt Storage” Architecture Meaningfully Mitigate Exposure?</w:t>
      </w:r>
      <w:r/>
    </w:p>
    <w:p>
      <w:pPr/>
      <w:r>
        <w:t xml:space="preserve">As of April 26, 2026, the architecture you described materially mitigates one important dimension of NCBE-related copyright risk, namely the risk that your platform is functioning as a repository or distribution channel for NCBE MEE prompts. It does this by eliminating durable server-side retention of the uploaded prompt text and, by design, preventing downstream product features from re-serving those prompts from your infrastructure. That said, the architecture does not eliminate infringement risk. If a user uploads an NCBE prompt without authorization, your system still receives and uses the prompt, makes technical copies during processing, and transmits the prompt to a third-party model provider. Those acts can implicate the Copyright Act’s reproduction right and, depending on output characteristics, the derivative works right. See 17 U.S.C. §§ 101, 106. Whether that residual risk is tolerable depends less on the database schema and more on (i) what copies are made during inference and by whom, (ii) whether the generated packet can be characterized as a market-substituting derivative, and (iii) how strong a fair use case you can sustain for this workflow under 17 U.S.C. § 107 as interpreted by cases such as Campbell v. Acuff-Rose Music, Inc., 510 U.S. 569 (1994), and Harper &amp; Row, Publishers, Inc. v. Nation Enterprises, 471 U.S. 539 (1985). </w:t>
      </w:r>
      <w:r/>
    </w:p>
    <w:p>
      <w:pPr>
        <w:pStyle w:val="Heading2"/>
      </w:pPr>
      <w:r>
        <w:t>Framing the legal question: which exclusive rights are plausibly implicated by “upload your own prompt”</w:t>
      </w:r>
      <w:r/>
    </w:p>
    <w:p>
      <w:pPr/>
      <w:r>
        <w:t>The core statutory rights that matter here are the copyright owner’s exclusive rights to reproduce the work, prepare derivative works, and distribute copies to the public. See 17 U.S.C. § 106(1)–(3). For an NCBE MEE prompt, the most practically relevant rights are reproduction and derivative works because your feature necessarily ingests the full prompt as an input. The distribution right becomes more salient if your system stores the prompt or makes it available to other users, or if your stored outputs effectively republish substantial expressive portions of the prompt, even unintentionally.</w:t>
      </w:r>
      <w:r/>
    </w:p>
    <w:p>
      <w:pPr/>
      <w:r>
        <w:t xml:space="preserve">Because your service is subscription-based, the use is commercial in the ordinary sense, and commerciality can weigh against fair use under the first statutory factor, even though it is not dispositive. See 17 U.S.C. § 107(1); Campbell, 510 U.S. 569. That commercial context does not mean the workflow is unlawful. It does mean you should assume the NCBE (or any rightsholder) will characterize the activity as a monetized use of their content and will emphasize market harm, which the Supreme Court has treated as a central consideration in fair use analysis. See 17 U.S.C. § 107(4); Harper &amp; Row, 471 U.S. 539. </w:t>
      </w:r>
      <w:r/>
    </w:p>
    <w:p>
      <w:pPr>
        <w:pStyle w:val="Heading2"/>
      </w:pPr>
      <w:r>
        <w:t>Where your architecture helps: it reduces “platform as a prompt library” and limits distribution theories</w:t>
      </w:r>
      <w:r/>
    </w:p>
    <w:p>
      <w:pPr/>
      <w:r>
        <w:t xml:space="preserve">Your strongest architectural mitigation is that it structurally prevents you from becoming a durable store of NCBE prompts. In many copyright disputes, the most litigation-efficient claim is that the service hosts and redistributes copyrighted content, because that directly invokes § 106(3) and is easy to explain to a judge. By eliminating any server-side prompt text column and instead keeping prompt text only in the user’s browser, you cut off a large class of “you are distributing our questions” narratives. </w:t>
      </w:r>
      <w:r/>
    </w:p>
    <w:p>
      <w:pPr/>
      <w:r>
        <w:t>This matters both legally and factually. Legally, distribution requires distribution of copies “to the public” by sale or other transfer, rental, lease, or lending. See 17 U.S.C. § 106(3). Factually, your system (as described) is designed so that a user can only see the prompt they themselves pasted, and only if it remains on their device. That makes it harder for a rightsholder to argue that your platform is a substitute distribution channel for exam prompts or that you are operating a de facto archive of copyrighted questions. Even if the underlying upload was unauthorized, the claim looks more like “you processed my text” rather than “you published my text.”</w:t>
      </w:r>
      <w:r/>
    </w:p>
    <w:p>
      <w:pPr/>
      <w:r>
        <w:t xml:space="preserve">Your design also reduces the risk that you later expand features in a way that accidentally cross-pollinates prompts between users, because you have no prompt corpus in the database to query, search, or reuse. That is an underrated compliance benefit: eliminating the data from the server eliminates entire classes of product mistakes that often create the worst infringement fact patterns, such as “related prompts,” “search prompts,” “prompt history,” or “show me what others uploaded.” </w:t>
      </w:r>
      <w:r/>
    </w:p>
    <w:p>
      <w:pPr>
        <w:pStyle w:val="Heading2"/>
      </w:pPr>
      <w:r>
        <w:t>Where your architecture does not help enough: reproduction and authorization of reproduction still occur</w:t>
      </w:r>
      <w:r/>
    </w:p>
    <w:p>
      <w:pPr/>
      <w:r>
        <w:t>The harder point is that copyright infringement is not limited to durable storage. The reproduction right in § 106(1) is broad, and the statutory definitions are technology-neutral. See 17 U.S.C. §§ 101, 106(1). Even if you never persist the prompt in a database, the system still receives the prompt over the network, holds it in server memory, and sends it out to an LLM provider. Those steps ordinarily entail the creation of copies in RAM, buffers, logs, and provider-side infrastructure. Some of those copies may be “transitory,” and the Copyright Act’s definition of “fixed” turns on whether a work’s embodiment is sufficiently permanent to be perceived or reproduced for more than a transitory duration. See 17 U.S.C. § 101. However, you should not assume that “about five seconds in memory” is a categorical safe harbor, because the legal and technical analysis of what counts as a “copy” in computing systems is fact-dependent, and plaintiffs can pursue theories based on intermediate copying and provider-side retention even when the first party deletes quickly.</w:t>
      </w:r>
      <w:r/>
    </w:p>
    <w:p>
      <w:pPr/>
      <w:r>
        <w:t>Separately, the derivative works right in § 106(2) is relevant because your product’s value proposition is to generate a rubric-like “grading framework” from the prompt. See 17 U.S.C. § 106(2). A derivative work is broadly defined to include works “based upon” a preexisting work that recast, transform, or adapt it, including annotations or elaborations that, as a whole, represent original authorship. See 17 U.S.C. § 101. Your generated packet is not the prompt itself, and you represent that it contains no prompt text. Even so, a rightsholder can argue that a rubric keyed to a specific prompt is an unauthorized derivative if it is sufficiently tied to the expressive choices of the prompt and if it competes in a licensing market the rightsholder plausibly exploits or intends to exploit. This is where output design matters more than storage design.</w:t>
      </w:r>
      <w:r/>
    </w:p>
    <w:p>
      <w:pPr>
        <w:pStyle w:val="Heading2"/>
      </w:pPr>
      <w:r>
        <w:t>The most important technical hinge: whether outputs can “leak” protectable expression from the prompt</w:t>
      </w:r>
      <w:r/>
    </w:p>
    <w:p>
      <w:pPr/>
      <w:r>
        <w:t xml:space="preserve">From an infringement-risk perspective, your “no prompt stored” guarantee only remains protective if the stored artifacts are truly free of protectable expression from the prompt. Your packet-generation stage creates the highest practical exposure because you store the packet and then use it downstream for grading. If the packet includes verbatim or near-verbatim segments of the prompt, or distinctive phrasing that is plausibly protectable expression rather than uncopyrightable ideas, you have recreated the very problem the architecture set out to avoid. At that point, you are storing and redistributing prompt-derived expression, and the case starts to look like a conventional content-hosting dispute, with the added complication that you are monetizing the derivative. </w:t>
      </w:r>
      <w:r/>
    </w:p>
    <w:p>
      <w:pPr/>
      <w:r>
        <w:t>This is also the point at which litigation narratives become unfavorable. Even if the user supplied the prompt, a rightsholder will argue that your system is designed to transform their exam content into a commercial “answer key” or “grading key,” and the stored packet becomes the evidentiary artifact for that claim. In that posture, the “we didn’t store the prompt” defense is less persuasive because the plaintiff will focus on what you did store and sell, not merely what you deleted.</w:t>
      </w:r>
      <w:r/>
    </w:p>
    <w:p>
      <w:pPr>
        <w:pStyle w:val="Heading2"/>
      </w:pPr>
      <w:r>
        <w:t>Fair use: the plausible defense, and why the architecture helps but does not settle it</w:t>
      </w:r>
      <w:r/>
    </w:p>
    <w:p>
      <w:pPr/>
      <w:r>
        <w:t>Your most credible doctrinal defense for processing an uploaded MEE prompt is fair use under 17 U.S.C. § 107. The statute requires consideration of purpose and character (including commerciality), nature of the copyrighted work, amount and substantiality taken, and market effect. See 17 U.S.C. § 107. Campbell emphasizes that the inquiry is case-by-case and that transformative use can reduce the significance of other factors such as commercialism. Campbell, 510 U.S. 569. Applying those principles, there is a plausible argument that generating an issue-spotting rubric and grading framework is transformative “teaching” or “scholarship” in function, even if offered commercially, because the output is an analytical scaffold rather than a republication of the prompt.</w:t>
      </w:r>
      <w:r/>
    </w:p>
    <w:p>
      <w:pPr/>
      <w:r>
        <w:t xml:space="preserve">Your architecture supports that fair use argument in two ways. It limits the amount of expressive content you retain and redistribute, which helps factor three and reduces the chance that your product acts as a substitute for access to the original prompts. It also reduces market substitution concerns under factor four by ensuring that your platform is not a library of NCBE prompts; users still need to obtain the prompt from somewhere else, and your system (as designed) does not supply it to the public. Market effect is often framed in terms of substitution rather than mere criticism-related harm. See 17 U.S.C. § 107(4); Campbell, 510 U.S. 569. </w:t>
      </w:r>
      <w:r/>
    </w:p>
    <w:p>
      <w:pPr/>
      <w:r>
        <w:t>At the same time, fair use remains uncertain for two reasons that the architecture does not resolve. The first is that your system necessarily uses the entire prompt as an input, and complete copying can weigh against fair use unless justified by the use’s purpose. The second is that rightsholders can argue that the relevant market is not merely the market for the prompt text itself, but the market for authorized derivative study materials keyed to those prompts. Campbell makes clear that derivative-market substitution is a relevant consideration even for transformative works. Campbell, 510 U.S. 569. If the NCBE licenses or could license model answers, rubrics, or scoring materials (or if courts accept that such a market is traditional and reasonable), that could weigh against fair use even if you never store the prompt.</w:t>
      </w:r>
      <w:r/>
    </w:p>
    <w:p>
      <w:pPr/>
      <w:r>
        <w:t>Harper &amp; Row is also a cautionary reference point because it underscores that fair use does not permit “bodily appropriation” of protected expression merely because the underlying topic is important, and it places heavy emphasis on market harm and on not usurping a rightsholder’s valuable exploitation window. Harper &amp; Row, 471 U.S. 539. While MEE prompts are not analogous to an unpublished presidential memoir in every respect, the decision is often invoked by rightsholders to argue that commercial entities cannot bypass licensing by claiming public benefit, especially where the use competes with the rightsholder’s monetization.</w:t>
      </w:r>
      <w:r/>
    </w:p>
    <w:p>
      <w:pPr>
        <w:pStyle w:val="Heading2"/>
      </w:pPr>
      <w:r>
        <w:t>Transmission to a third-party LLM provider increases exposure beyond your internal storage choices</w:t>
      </w:r>
      <w:r/>
    </w:p>
    <w:p>
      <w:pPr/>
      <w:r>
        <w:t>Even if you delete server-side promptly, transmitting prompt text to a third party expands the set of entities making copies and expands factual uncertainty about retention. From the rightsholder’s perspective, you have not only processed the prompt, you have also disseminated it outside your organization. That can matter to damages narratives and to claims that your system is not “minimal” in its copying.</w:t>
      </w:r>
      <w:r/>
    </w:p>
    <w:p>
      <w:pPr/>
      <w:r>
        <w:t>In addition, the DMCA safe harbors are not a clean fit for the core “upload prompt → transform with LLM → store packet” workflow. Section 512(a) offers a limitation for transitory digital network communications and intermediate transient storage in the course of transmitting, routing, or providing connections, but it is framed around acting as a conduit and includes conditions such as transmission without modification. See 17 U.S.C. § 512(a). Your system is not merely a conduit; it is transforming the user’s content into a new evaluative artifact and commercializing the result. Section 512(c) applies to storage at the direction of users and requires, among other things, agent designation and a reasonably implemented repeat-infringer policy as a condition of eligibility. See 17 U.S.C. § 512(c), (i). Even if you can satisfy those programmatic conditions, the safe harbors do not eliminate injunctive risk and may not cover the transformative generation step in the way you would want.</w:t>
      </w:r>
      <w:r/>
    </w:p>
    <w:p>
      <w:pPr>
        <w:pStyle w:val="Heading2"/>
      </w:pPr>
      <w:r>
        <w:t>Bottom-line assessment: what the architecture accomplishes, and what it cannot accomplish alone</w:t>
      </w:r>
      <w:r/>
    </w:p>
    <w:p>
      <w:pPr/>
      <w:r>
        <w:t>Your architecture is a meaningful mitigation against the most dangerous fact pattern, which is hosting and redistributing NCBE prompts to other users or the public. It also reduces the probability that you accidentally operationalize a prompt corpus and later build features that look like a prompt marketplace. Those are real risk reductions that a rightsholder and a court can understand.</w:t>
      </w:r>
      <w:r/>
    </w:p>
    <w:p>
      <w:pPr/>
      <w:r>
        <w:t>However, the architecture does not, by itself, eliminate the core legal question. If users upload NCBE prompts without authorization, your system still likely implicates the reproduction right through intake, processing, and third-party transmission, and it may implicate the derivative works right if the stored packets are sufficiently prompt-specific and compete in a plausible licensing market. See 17 U.S.C. §§ 101, 106. In other words, “we do not store the prompt” is best understood as a strong mitigating fact that improves your fair use posture and limits distribution theories, not as a dispositive shield against infringement claims.</w:t>
      </w:r>
      <w:r/>
    </w:p>
    <w:p>
      <w:pPr>
        <w:pStyle w:val="Heading2"/>
      </w:pPr>
      <w:r>
        <w:t>Conclusion</w:t>
      </w:r>
      <w:r/>
    </w:p>
    <w:p>
      <w:pPr/>
      <w:r>
        <w:t xml:space="preserve">If your objective is to mitigate the risk of infringing NCBE copyright specifically, the “no server-side prompt storage” architecture is directionally and materially helpful, because it prevents your platform from becoming a prompt repository and sharply reduces distribution-based exposure under 17 U.S.C. § 106(3). It does not eliminate risk because ingestion, processing, and third-party transmission can still implicate the reproduction right in § 106(1), and the stored grading packet can create derivative-work or market-substitution arguments under § 106(2) and the fair use market-effect factor in § 107(4). The decisive issues, therefore, are not only where the prompt is stored, but also whether any protectable expression flows into stored outputs and whether your use can be credibly defended as transformative teaching or scholarship under the multi-factor fair use analysis. See 17 U.S.C. § 107; Campbell v. Acuff-Rose Music, Inc., 510 U.S. 569 (1994); Harper &amp; Row, Publishers, Inc. v. Nation Enterprises, 471 U.S. 539 (1985). </w:t>
      </w:r>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40" w:lineRule="auto"/>
      <w:jc w:val="left"/>
    </w:pPr>
    <w:rPr>
      <w:rFonts w:ascii="Times New Roman" w:hAnsi="Times New Roman"/>
      <w:color w:val="00000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rPr>
      <w:rFonts w:ascii="Times New Roman" w:hAnsi="Times New Roman"/>
      <w:color w:val="000000"/>
    </w:r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rPr>
      <w:rFonts w:ascii="Times New Roman" w:hAnsi="Times New Roman"/>
      <w:color w:val="000000"/>
    </w:r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line="360" w:lineRule="auto"/>
      <w:outlineLvl w:val="0"/>
    </w:pPr>
    <w:rPr>
      <w:rFonts w:ascii="Times New Roman" w:hAnsi="Times New Roman"/>
      <w:b/>
      <w:bCs/>
      <w:color w:val="000000"/>
      <w:sz w:val="32"/>
      <w:szCs w:val="28"/>
    </w:rPr>
  </w:style>
  <w:style w:type="paragraph" w:styleId="Heading2">
    <w:name w:val="heading 2"/>
    <w:basedOn w:val="Normal"/>
    <w:next w:val="Normal"/>
    <w:link w:val="Heading2Char"/>
    <w:uiPriority w:val="9"/>
    <w:unhideWhenUsed/>
    <w:qFormat/>
    <w:rsid w:val="00FC693F"/>
    <w:pPr>
      <w:keepNext/>
      <w:keepLines/>
      <w:spacing w:before="200" w:after="0" w:line="360" w:lineRule="auto"/>
      <w:outlineLvl w:val="1"/>
    </w:pPr>
    <w:rPr>
      <w:rFonts w:ascii="Times New Roman" w:hAnsi="Times New Roman"/>
      <w:b/>
      <w:bCs/>
      <w:color w:val="000000"/>
      <w:sz w:val="28"/>
      <w:szCs w:val="26"/>
    </w:rPr>
  </w:style>
  <w:style w:type="paragraph" w:styleId="Heading3">
    <w:name w:val="heading 3"/>
    <w:basedOn w:val="Normal"/>
    <w:next w:val="Normal"/>
    <w:link w:val="Heading3Char"/>
    <w:uiPriority w:val="9"/>
    <w:unhideWhenUsed/>
    <w:qFormat/>
    <w:rsid w:val="00FC693F"/>
    <w:pPr>
      <w:keepNext/>
      <w:keepLines/>
      <w:spacing w:before="200" w:after="0" w:line="360" w:lineRule="auto"/>
      <w:outlineLvl w:val="2"/>
    </w:pPr>
    <w:rPr>
      <w:rFonts w:ascii="Times New Roman" w:hAnsi="Times New Roman"/>
      <w:b/>
      <w:bCs/>
      <w:color w:val="000000"/>
      <w:sz w:val="26"/>
    </w:rPr>
  </w:style>
  <w:style w:type="paragraph" w:styleId="Heading4">
    <w:name w:val="heading 4"/>
    <w:basedOn w:val="Normal"/>
    <w:next w:val="Normal"/>
    <w:link w:val="Heading4Char"/>
    <w:uiPriority w:val="9"/>
    <w:semiHidden/>
    <w:unhideWhenUsed/>
    <w:qFormat/>
    <w:rsid w:val="00FC693F"/>
    <w:pPr>
      <w:keepNext/>
      <w:keepLines/>
      <w:spacing w:before="200" w:after="0" w:line="360" w:lineRule="auto"/>
      <w:outlineLvl w:val="3"/>
    </w:pPr>
    <w:rPr>
      <w:rFonts w:ascii="Times New Roman" w:hAnsi="Times New Roman"/>
      <w:b/>
      <w:bCs/>
      <w:i/>
      <w:iCs/>
      <w:color w:val="000000"/>
    </w:rPr>
  </w:style>
  <w:style w:type="paragraph" w:styleId="Heading5">
    <w:name w:val="heading 5"/>
    <w:basedOn w:val="Normal"/>
    <w:next w:val="Normal"/>
    <w:link w:val="Heading5Char"/>
    <w:uiPriority w:val="9"/>
    <w:semiHidden/>
    <w:unhideWhenUsed/>
    <w:qFormat/>
    <w:rsid w:val="00FC693F"/>
    <w:pPr>
      <w:keepNext/>
      <w:keepLines/>
      <w:spacing w:before="200" w:after="0" w:line="360" w:lineRule="auto"/>
      <w:outlineLvl w:val="4"/>
    </w:pPr>
    <w:rPr>
      <w:rFonts w:ascii="Times New Roman" w:hAnsi="Times New Roman"/>
      <w:color w:val="000000"/>
    </w:rPr>
  </w:style>
  <w:style w:type="paragraph" w:styleId="Heading6">
    <w:name w:val="heading 6"/>
    <w:basedOn w:val="Normal"/>
    <w:next w:val="Normal"/>
    <w:link w:val="Heading6Char"/>
    <w:uiPriority w:val="9"/>
    <w:semiHidden/>
    <w:unhideWhenUsed/>
    <w:qFormat/>
    <w:rsid w:val="00FC693F"/>
    <w:pPr>
      <w:keepNext/>
      <w:keepLines/>
      <w:spacing w:before="200" w:after="0" w:line="360" w:lineRule="auto"/>
      <w:outlineLvl w:val="5"/>
    </w:pPr>
    <w:rPr>
      <w:rFonts w:ascii="Times New Roman" w:hAnsi="Times New Roman"/>
      <w:i/>
      <w:iCs/>
      <w:color w:val="000000"/>
    </w:rPr>
  </w:style>
  <w:style w:type="paragraph" w:styleId="Heading7">
    <w:name w:val="heading 7"/>
    <w:basedOn w:val="Normal"/>
    <w:next w:val="Normal"/>
    <w:link w:val="Heading7Char"/>
    <w:uiPriority w:val="9"/>
    <w:semiHidden/>
    <w:unhideWhenUsed/>
    <w:qFormat/>
    <w:rsid w:val="00FC693F"/>
    <w:pPr>
      <w:keepNext/>
      <w:keepLines/>
      <w:spacing w:before="200" w:after="0" w:line="360" w:lineRule="auto"/>
      <w:outlineLvl w:val="6"/>
    </w:pPr>
    <w:rPr>
      <w:rFonts w:ascii="Times New Roman" w:hAnsi="Times New Roman"/>
      <w:i/>
      <w:iCs/>
      <w:color w:val="000000"/>
    </w:rPr>
  </w:style>
  <w:style w:type="paragraph" w:styleId="Heading8">
    <w:name w:val="heading 8"/>
    <w:basedOn w:val="Normal"/>
    <w:next w:val="Normal"/>
    <w:link w:val="Heading8Char"/>
    <w:uiPriority w:val="9"/>
    <w:semiHidden/>
    <w:unhideWhenUsed/>
    <w:qFormat/>
    <w:rsid w:val="00FC693F"/>
    <w:pPr>
      <w:keepNext/>
      <w:keepLines/>
      <w:spacing w:before="200" w:after="0" w:line="360" w:lineRule="auto"/>
      <w:outlineLvl w:val="7"/>
    </w:pPr>
    <w:rPr>
      <w:rFonts w:ascii="Times New Roman" w:hAnsi="Times New Roman"/>
      <w:color w:val="000000"/>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line="360" w:lineRule="auto"/>
      <w:outlineLvl w:val="8"/>
    </w:pPr>
    <w:rPr>
      <w:rFonts w:ascii="Times New Roman" w:hAnsi="Times New Roman"/>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360" w:lineRule="auto"/>
      <w:contextualSpacing/>
    </w:pPr>
    <w:rPr>
      <w:rFonts w:ascii="Times New Roman" w:hAnsi="Times New Roman"/>
      <w:color w:val="000000"/>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spacing w:line="360" w:lineRule="auto"/>
    </w:pPr>
    <w:rPr>
      <w:rFonts w:ascii="Times New Roman" w:hAnsi="Times New Roman"/>
      <w:i/>
      <w:iCs/>
      <w:color w:val="000000"/>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rPr>
      <w:rFonts w:ascii="Times New Roman" w:hAnsi="Times New Roman"/>
      <w:color w:val="000000"/>
    </w:rPr>
  </w:style>
  <w:style w:type="paragraph" w:styleId="BodyText">
    <w:name w:val="Body Text"/>
    <w:basedOn w:val="Normal"/>
    <w:link w:val="BodyTextChar"/>
    <w:uiPriority w:val="99"/>
    <w:unhideWhenUsed/>
    <w:rsid w:val="00AA1D8D"/>
    <w:pPr>
      <w:spacing w:after="120" w:line="240" w:lineRule="auto"/>
      <w:jc w:val="left"/>
    </w:pPr>
    <w:rPr>
      <w:rFonts w:ascii="Times New Roman" w:hAnsi="Times New Roman"/>
      <w:color w:val="000000"/>
      <w:sz w:val="24"/>
    </w:r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240" w:lineRule="auto"/>
      <w:jc w:val="left"/>
    </w:pPr>
    <w:rPr>
      <w:rFonts w:ascii="Times New Roman" w:hAnsi="Times New Roman"/>
      <w:color w:val="000000"/>
      <w:sz w:val="24"/>
    </w:r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line="240" w:lineRule="auto"/>
      <w:jc w:val="left"/>
    </w:pPr>
    <w:rPr>
      <w:rFonts w:ascii="Times New Roman" w:hAnsi="Times New Roman"/>
      <w:color w:val="000000"/>
      <w:sz w:val="24"/>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rPr>
      <w:rFonts w:ascii="Times New Roman" w:hAnsi="Times New Roman"/>
      <w:color w:val="000000"/>
    </w:rPr>
  </w:style>
  <w:style w:type="paragraph" w:styleId="List2">
    <w:name w:val="List 2"/>
    <w:basedOn w:val="Normal"/>
    <w:uiPriority w:val="99"/>
    <w:unhideWhenUsed/>
    <w:rsid w:val="00326F90"/>
    <w:pPr>
      <w:ind w:left="720" w:hanging="360"/>
      <w:contextualSpacing/>
    </w:pPr>
    <w:rPr>
      <w:rFonts w:ascii="Times New Roman" w:hAnsi="Times New Roman"/>
      <w:color w:val="000000"/>
    </w:rPr>
  </w:style>
  <w:style w:type="paragraph" w:styleId="List3">
    <w:name w:val="List 3"/>
    <w:basedOn w:val="Normal"/>
    <w:uiPriority w:val="99"/>
    <w:unhideWhenUsed/>
    <w:rsid w:val="00326F90"/>
    <w:pPr>
      <w:ind w:left="1080" w:hanging="360"/>
      <w:contextualSpacing/>
    </w:pPr>
    <w:rPr>
      <w:rFonts w:ascii="Times New Roman" w:hAnsi="Times New Roman"/>
      <w:color w:val="000000"/>
    </w:rPr>
  </w:style>
  <w:style w:type="paragraph" w:styleId="ListBullet">
    <w:name w:val="List Bullet"/>
    <w:basedOn w:val="Normal"/>
    <w:uiPriority w:val="99"/>
    <w:unhideWhenUsed/>
    <w:rsid w:val="00326F90"/>
    <w:pPr>
      <w:numPr>
        <w:numId w:val="1"/>
      </w:numPr>
      <w:contextualSpacing/>
    </w:pPr>
    <w:rPr>
      <w:rFonts w:ascii="Times New Roman" w:hAnsi="Times New Roman"/>
      <w:color w:val="000000"/>
    </w:rPr>
  </w:style>
  <w:style w:type="paragraph" w:styleId="ListBullet2">
    <w:name w:val="List Bullet 2"/>
    <w:basedOn w:val="Normal"/>
    <w:uiPriority w:val="99"/>
    <w:unhideWhenUsed/>
    <w:rsid w:val="00326F90"/>
    <w:pPr>
      <w:numPr>
        <w:numId w:val="2"/>
      </w:numPr>
      <w:contextualSpacing/>
    </w:pPr>
    <w:rPr>
      <w:rFonts w:ascii="Times New Roman" w:hAnsi="Times New Roman"/>
      <w:color w:val="000000"/>
    </w:rPr>
  </w:style>
  <w:style w:type="paragraph" w:styleId="ListBullet3">
    <w:name w:val="List Bullet 3"/>
    <w:basedOn w:val="Normal"/>
    <w:uiPriority w:val="99"/>
    <w:unhideWhenUsed/>
    <w:rsid w:val="00326F90"/>
    <w:pPr>
      <w:numPr>
        <w:numId w:val="3"/>
      </w:numPr>
      <w:contextualSpacing/>
    </w:pPr>
    <w:rPr>
      <w:rFonts w:ascii="Times New Roman" w:hAnsi="Times New Roman"/>
      <w:color w:val="000000"/>
    </w:rPr>
  </w:style>
  <w:style w:type="paragraph" w:styleId="ListNumber">
    <w:name w:val="List Number"/>
    <w:basedOn w:val="Normal"/>
    <w:uiPriority w:val="99"/>
    <w:unhideWhenUsed/>
    <w:rsid w:val="00326F90"/>
    <w:pPr>
      <w:numPr>
        <w:numId w:val="5"/>
      </w:numPr>
      <w:contextualSpacing/>
    </w:pPr>
    <w:rPr>
      <w:rFonts w:ascii="Times New Roman" w:hAnsi="Times New Roman"/>
      <w:color w:val="000000"/>
    </w:rPr>
  </w:style>
  <w:style w:type="paragraph" w:styleId="ListNumber2">
    <w:name w:val="List Number 2"/>
    <w:basedOn w:val="Normal"/>
    <w:uiPriority w:val="99"/>
    <w:unhideWhenUsed/>
    <w:rsid w:val="0029639D"/>
    <w:pPr>
      <w:numPr>
        <w:numId w:val="6"/>
      </w:numPr>
      <w:contextualSpacing/>
    </w:pPr>
    <w:rPr>
      <w:rFonts w:ascii="Times New Roman" w:hAnsi="Times New Roman"/>
      <w:color w:val="000000"/>
    </w:rPr>
  </w:style>
  <w:style w:type="paragraph" w:styleId="ListNumber3">
    <w:name w:val="List Number 3"/>
    <w:basedOn w:val="Normal"/>
    <w:uiPriority w:val="99"/>
    <w:unhideWhenUsed/>
    <w:rsid w:val="0029639D"/>
    <w:pPr>
      <w:numPr>
        <w:numId w:val="7"/>
      </w:numPr>
      <w:contextualSpacing/>
    </w:pPr>
    <w:rPr>
      <w:rFonts w:ascii="Times New Roman" w:hAnsi="Times New Roman"/>
      <w:color w:val="000000"/>
    </w:rPr>
  </w:style>
  <w:style w:type="paragraph" w:styleId="ListContinue">
    <w:name w:val="List Continue"/>
    <w:basedOn w:val="Normal"/>
    <w:uiPriority w:val="99"/>
    <w:unhideWhenUsed/>
    <w:rsid w:val="0029639D"/>
    <w:pPr>
      <w:spacing w:after="120"/>
      <w:ind w:left="360"/>
      <w:contextualSpacing/>
    </w:pPr>
    <w:rPr>
      <w:rFonts w:ascii="Times New Roman" w:hAnsi="Times New Roman"/>
      <w:color w:val="000000"/>
    </w:rPr>
  </w:style>
  <w:style w:type="paragraph" w:styleId="ListContinue2">
    <w:name w:val="List Continue 2"/>
    <w:basedOn w:val="Normal"/>
    <w:uiPriority w:val="99"/>
    <w:unhideWhenUsed/>
    <w:rsid w:val="0029639D"/>
    <w:pPr>
      <w:spacing w:after="120"/>
      <w:ind w:left="720"/>
      <w:contextualSpacing/>
    </w:pPr>
    <w:rPr>
      <w:rFonts w:ascii="Times New Roman" w:hAnsi="Times New Roman"/>
      <w:color w:val="000000"/>
    </w:rPr>
  </w:style>
  <w:style w:type="paragraph" w:styleId="ListContinue3">
    <w:name w:val="List Continue 3"/>
    <w:basedOn w:val="Normal"/>
    <w:uiPriority w:val="99"/>
    <w:unhideWhenUsed/>
    <w:rsid w:val="0029639D"/>
    <w:pPr>
      <w:spacing w:after="120"/>
      <w:ind w:left="1080"/>
      <w:contextualSpacing/>
    </w:pPr>
    <w:rPr>
      <w:rFonts w:ascii="Times New Roman" w:hAnsi="Times New Roman"/>
      <w:color w:val="000000"/>
    </w:r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rFonts w:ascii="Times New Roman" w:hAnsi="Times New Roman"/>
      <w:i/>
      <w:iCs/>
      <w:color w:val="000000"/>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rFonts w:ascii="Times New Roman" w:hAnsi="Times New Roman"/>
      <w:b/>
      <w:bCs/>
      <w:color w:val="000000"/>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rFonts w:ascii="Times New Roman" w:hAnsi="Times New Roman"/>
      <w:b/>
      <w:bCs/>
      <w:i/>
      <w:iCs/>
      <w:color w:val="000000"/>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sallen58@fordham.edu</dc:creator>
  <cp:keywords/>
  <dc:description/>
  <cp:lastModifiedBy/>
  <cp:revision>1</cp:revision>
  <dcterms:created xsi:type="dcterms:W3CDTF">2013-12-23T23:15:00Z</dcterms:created>
  <dcterms:modified xsi:type="dcterms:W3CDTF">2013-12-23T23:15:00Z</dcterms:modified>
  <cp:category/>
</cp:coreProperties>
</file>