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Design and Contract Package for “Bring Your Own Prompt” to Minimize NCBE Copyright Risk (U.S.)</w:t>
      </w:r>
      <w:r/>
    </w:p>
    <w:p>
      <w:pPr/>
      <w:r>
        <w:t>This document proposes a combined product specification and user-facing contractual framework to further reduce (and in some cases avoid) copyright infringement risk when a subscriber uploads a third-party prompt, including an NCBE MEE question, for classification, rubric generation, and grading. It is written for a consumer bar-prep service used directly by law-graduate subscribers, not by institutions. It reflects the core legal risk drivers under the Copyright Act’s exclusive rights regime and the fair use framework, and it treats architecture and contract terms as a single system: the best technical design will still fail in practice if terms allow frictionless misuse, and the best terms will not help if the system’s stored outputs effectively become a prompt-derived answer key product.</w:t>
      </w:r>
      <w:r/>
    </w:p>
    <w:p>
      <w:pPr>
        <w:pStyle w:val="Heading2"/>
      </w:pPr>
      <w:r>
        <w:t>Problem statement and design goals</w:t>
      </w:r>
      <w:r/>
    </w:p>
    <w:p>
      <w:pPr/>
      <w:r>
        <w:t>The highest-risk fact pattern is not simply that a user pasted an NCBE prompt. The highest-risk fact pattern is that the platform either becomes a repository or distribution channel for copyrighted prompts or becomes a commercial seller of prompt-specific derivatives that can substitute for licensed scoring guides. Your current architecture already addresses the first part by not storing prompts server-side. The residual risks arise from the acts of copying and transformation that still occur during inference, and from the prompt-specificity and persistence of the stored “packet” or other derived artifacts.</w:t>
      </w:r>
      <w:r/>
    </w:p>
    <w:p>
      <w:pPr/>
      <w:r>
        <w:t>The redesign goal is to make the platform credible in three claims at once. The first is that the platform does not distribute copyrighted prompts to other users. The second is that the platform does not retain or monetize prompt text. The third is that the platform does not build a durable prompt-specific derivative artifact that is reusable as an answer key or scoring guide. Where those claims cannot be made, the redesign goal shifts to narrowing and making provable the scope of copying, retention, and reuse, including by third-party model providers.</w:t>
      </w:r>
      <w:r/>
    </w:p>
    <w:p>
      <w:pPr>
        <w:pStyle w:val="Heading2"/>
      </w:pPr>
      <w:r>
        <w:t>Threat model: where copyright risk actually attaches in the BYOP flow</w:t>
      </w:r>
      <w:r/>
    </w:p>
    <w:p>
      <w:pPr/>
      <w:r>
        <w:t>A user-submitted prompt can create exposure even if no database column ever stores it, because the system still has to receive and process the prompt. That processing creates technical copies in memory, in buffers, and potentially in logs and crash artifacts. It also typically involves sending the prompt to an AI provider, which increases the number of systems that possess plaintext at some point in the inference pipeline.</w:t>
      </w:r>
      <w:r/>
    </w:p>
    <w:p>
      <w:pPr/>
      <w:r>
        <w:t>The second axis of risk is the derived output. A “packet” that is highly keyed to a particular prompt, especially if it is stored and reused for grading, can be portrayed as an unauthorized derivative scoring product. This risk exists even if the packet contains no verbatim prompt text. The practical question is whether the packet, when viewed as a product feature, functions as a substitute for a licensed rubric, model answer, or official scoring guidance.</w:t>
      </w:r>
      <w:r/>
    </w:p>
    <w:p>
      <w:pPr/>
      <w:r>
        <w:t>The third axis is how the product is positioned and enforced. A pure checkbox attestation is often treated as a weak control if the platform’s design is otherwise optimized for uploading known proprietary prompts. A stronger posture requires both behavioral terms and meaningful friction or enforcement when the system detects likely restricted material.</w:t>
      </w:r>
      <w:r/>
    </w:p>
    <w:p>
      <w:pPr>
        <w:pStyle w:val="Heading2"/>
      </w:pPr>
      <w:r>
        <w:t>“Unreadable to the provider” prompt encryption: what is possible and what is not</w:t>
      </w:r>
      <w:r/>
    </w:p>
    <w:p>
      <w:pPr/>
      <w:r>
        <w:t>It is feasible to encrypt the prompt in transit and at rest. Standard transport encryption already covers in-transit confidentiality, and most providers can encrypt stored data. These measures reduce accidental leakage and opportunistic access, but they do not prevent the AI provider from accessing plaintext during inference, because a conventional hosted model must ingest plaintext tokens.</w:t>
      </w:r>
      <w:r/>
    </w:p>
    <w:p>
      <w:pPr/>
      <w:r>
        <w:t>It is not realistically feasible, with ordinary hosted LLM APIs, to send a prompt in a format that is both unreadable to the provider and still usable for generating a packet. Hashing destroys the content needed for inference. Encryption can preserve content, but the model still needs decryption at some boundary, and if that boundary is within the provider’s general environment, the provider can access plaintext and copy it.</w:t>
      </w:r>
      <w:r/>
    </w:p>
    <w:p>
      <w:pPr/>
      <w:r>
        <w:t>There are, however, two provider confidentiality patterns that change the trust boundary and can materially reduce provider-access risk. The first is confidential computing, where the provider runs inference inside a hardware-backed trusted execution environment and supports remote attestation. In that setup, the client encrypts the prompt, verifies via attestation that it is talking to the intended enclave code, and the prompt is only decrypted within the enclave. This reduces exposure to general platform logging and employee access, but it does not make copying mathematically impossible because plaintext exists inside the enclave and the system still relies on the integrity of the enclave implementation and attestation chain.</w:t>
      </w:r>
      <w:r/>
    </w:p>
    <w:p>
      <w:pPr/>
      <w:r>
        <w:t>The second is advanced cryptographic computation such as fully homomorphic encryption or secure multi-party computation. While these approaches can, in principle, compute on encrypted inputs, they are not currently practical for large-model inference at consumer latencies and costs unless the model and feature are drastically simplified.</w:t>
      </w:r>
      <w:r/>
    </w:p>
    <w:p>
      <w:pPr/>
      <w:r>
        <w:t>The actionable conclusion is that “unreadable to the provider” should be treated as a deployment mode choice, not a cryptographic trick. If you require that property, you either run inference where you control the machine, or you rely on a provider offering confidential-compute inference with attestation, or you accept a performance and capability tradeoff.</w:t>
      </w:r>
      <w:r/>
    </w:p>
    <w:p>
      <w:pPr>
        <w:pStyle w:val="Heading2"/>
      </w:pPr>
      <w:r>
        <w:t>Proposed system design options and the recommended target state</w:t>
      </w:r>
      <w:r/>
    </w:p>
    <w:p>
      <w:pPr>
        <w:pStyle w:val="Heading3"/>
      </w:pPr>
      <w:r>
        <w:t>Browser-direct inference using short-lived, single-purpose credentials</w:t>
      </w:r>
      <w:r/>
    </w:p>
    <w:p>
      <w:pPr/>
      <w:r>
        <w:t>The most impactful risk reduction, short of licensing or blocking, is to remove your servers from prompt handling entirely. In this mode, the browser holds the prompt, and the browser calls the AI provider directly for the classification and packet generation steps. Your backend issues a short-lived, scope-restricted credential that authorizes only a narrow action, with a narrow time window and budget, and cannot be reused to call arbitrary models or endpoints.</w:t>
      </w:r>
      <w:r/>
    </w:p>
    <w:p>
      <w:pPr/>
      <w:r>
        <w:t>The key property of this mode is not that the provider cannot see the prompt. The key property is that your company does not receive the prompt, does not copy it, and cannot accidentally log it. This collapses your internal retention and eDiscovery footprint and makes your “we do not store prompts” posture stronger and more provable. It also reduces the chance that a future product feature inadvertently turns BYOP into a prompt library, because the server never has the content to index.</w:t>
      </w:r>
      <w:r/>
    </w:p>
    <w:p>
      <w:pPr/>
      <w:r>
        <w:t>A robust implementation should treat the credential as a single-purpose capability. It should be limited to the minimal endpoints required, should expire quickly, and should be bound to a session identifier. It should also carry enforceable limits such as maximum input size, maximum output size, and a strict prohibition on use outside the BYOP flow. If your provider supports it, this capability should also be restricted by origin and by a single-use nonce to reduce token replay risk.</w:t>
      </w:r>
      <w:r/>
    </w:p>
    <w:p>
      <w:pPr>
        <w:pStyle w:val="Heading3"/>
      </w:pPr>
      <w:r>
        <w:t>“Bring your own model key” mode for maximum separation</w:t>
      </w:r>
      <w:r/>
    </w:p>
    <w:p>
      <w:pPr/>
      <w:r>
        <w:t>A stronger separation posture is to let the user supply their own AI provider credentials so the user, not you, is the contracting party sending content to the model provider. This mode can be positioned as a privacy- and compliance-maximizing option that reduces your role in transmitting potentially copyrighted prompts to third parties. It is not a complete legal shield, because you are still selling the workflow and may still be seen as facilitating the use, but it changes a core factual premise in any dispute about third-party transmission.</w:t>
      </w:r>
      <w:r/>
    </w:p>
    <w:p>
      <w:pPr/>
      <w:r>
        <w:t>This mode should be offered as an opt-in, because it adds friction. It is best paired with client-side storage of the user’s key in a secure browser storage boundary and never sending that key to your backend.</w:t>
      </w:r>
      <w:r/>
    </w:p>
    <w:p>
      <w:pPr>
        <w:pStyle w:val="Heading3"/>
      </w:pPr>
      <w:r>
        <w:t>Confidential-compute inference mode where available</w:t>
      </w:r>
      <w:r/>
    </w:p>
    <w:p>
      <w:pPr/>
      <w:r>
        <w:t>If your chosen provider offers a confidential inference product that includes remote attestation, you can offer a third mode where the browser encrypts the prompt to an enclave public key and verifies attestation before transmitting. This meaningfully reduces some categories of provider-side access and retention risk, and it is the closest practical solution to the user’s request for “unreadable to the provider,” while acknowledging that plaintext necessarily exists at some point within the enclave.</w:t>
      </w:r>
      <w:r/>
    </w:p>
    <w:p>
      <w:pPr/>
      <w:r>
        <w:t>This mode requires provider support and careful implementation. It is not merely a checkbox. It requires integrating attestation verification into the client and maintaining an allowlist of valid enclave measurements. It also requires explicitly limiting your reliance statements so you do not promise “un-copyable,” because the correct promise is “confidential to the provider’s general environment and staff except as allowed by the enclave boundary and contract.”</w:t>
      </w:r>
      <w:r/>
    </w:p>
    <w:p>
      <w:pPr>
        <w:pStyle w:val="Heading3"/>
      </w:pPr>
      <w:r>
        <w:t>Output and storage minimization: stop persisting prompt-specific “packets” as products</w:t>
      </w:r>
      <w:r/>
    </w:p>
    <w:p>
      <w:pPr/>
      <w:r>
        <w:t>Regardless of who performs inference, you can further reduce derivative-work and market-substitution risk by redesigning what is stored and what is reused. The safest version of BYOP does not persist a prompt-specific packet that can be repurposed as an answer key. Instead, the system can compute grades and feedback in a single pass and store only the minimum necessary scoring artifacts. Those artifacts should be designed so they cannot reproduce the fact pattern and cannot be used to reconstruct the prompt.</w:t>
      </w:r>
      <w:r/>
    </w:p>
    <w:p>
      <w:pPr/>
      <w:r>
        <w:t>A useful target state is to store a subject classification, a small set of rubric dimension scores, and an explanation that is phrased generically rather than tied to the prompt’s narrative details. Where you currently store “rule atoms” and detailed issue archetypes keyed to the prompt, a lower-risk redesign stores only a generic rubric keyed to the subject and call type that you author yourself, and treats any prompt-specific reasoning as ephemeral.</w:t>
      </w:r>
      <w:r/>
    </w:p>
    <w:p>
      <w:pPr>
        <w:pStyle w:val="Heading3"/>
      </w:pPr>
      <w:r>
        <w:t>Anti-regurgitation and “prompt leak” proof controls</w:t>
      </w:r>
      <w:r/>
    </w:p>
    <w:p>
      <w:pPr/>
      <w:r>
        <w:t>A strong BYOP posture requires moving from “we believe outputs contain no prompt text” to “the system enforces and audits that outputs contain no prompt text.” This should be treated as a product requirement with acceptance criteria. Any server-stored or displayed output should pass through an automated similarity filter that is tuned to detect verbatim and near-verbatim reproduction of the input prompt. If a violation is detected, the system should either redact and regenerate or refuse to store the artifact and provide only a minimal score.</w:t>
      </w:r>
      <w:r/>
    </w:p>
    <w:p>
      <w:pPr/>
      <w:r>
        <w:t>This control should apply not only to the “packet,” but also to grading feedback, analytics events, error reports, and support tickets. It should be impossible for engineering logs to capture prompt text by default. It should be similarly difficult for error monitoring and observability systems to capture request bodies.</w:t>
      </w:r>
      <w:r/>
    </w:p>
    <w:p>
      <w:pPr>
        <w:pStyle w:val="Heading3"/>
      </w:pPr>
      <w:r>
        <w:t>BYOP gating and enforcement: reduce inducement optics and predictable misuse</w:t>
      </w:r>
      <w:r/>
    </w:p>
    <w:p>
      <w:pPr/>
      <w:r>
        <w:t>If your strategic objective is to minimize NCBE risk, BYOP should not be optimized as the easiest pathway for uploading known proprietary prompts. The system should include friction and enforcement that make it credible that you do not want users to upload third-party content without authorization.</w:t>
      </w:r>
      <w:r/>
    </w:p>
    <w:p>
      <w:pPr/>
      <w:r>
        <w:t>The most aggressive approach is to block NCBE prompts via detection. That is difficult without maintaining some reference corpus, and maintaining a corpus of NCBE prompts could itself be contentious. A more balanced approach is to build “risk scoring” based on prompt structure, to require additional user confirmations for high-risk prompts, and to default to a safer grading mode that does not store prompt-specific artifacts. The key is that the platform should behave differently when it suspects restricted material, because uniform handling conveys that the platform is indifferent to authorization.</w:t>
      </w:r>
      <w:r/>
    </w:p>
    <w:p>
      <w:pPr>
        <w:pStyle w:val="Heading2"/>
      </w:pPr>
      <w:r>
        <w:t>User-facing contractual terms that should be paired with the product design</w:t>
      </w:r>
      <w:r/>
    </w:p>
    <w:p>
      <w:pPr/>
      <w:r>
        <w:t>The contract and the product should align so the user experience naturally follows the legal posture. The terms should not merely demand authorization; they should mirror the system’s actual data flows and enforcement.</w:t>
      </w:r>
      <w:r/>
    </w:p>
    <w:p>
      <w:pPr>
        <w:pStyle w:val="Heading3"/>
      </w:pPr>
      <w:r>
        <w:t>User content warranties and restricted content policy</w:t>
      </w:r>
      <w:r/>
    </w:p>
    <w:p>
      <w:pPr/>
      <w:r>
        <w:t>The terms should require that the user represent and warrant that they have the necessary rights to submit any prompt they upload, including rights to transmit it to third-party processors as part of the service. The terms should also clearly state that the user may not upload third-party exam content or proprietary materials unless they are authorized, and that the service may refuse, throttle, or disable BYOP for suspected unauthorized content.</w:t>
      </w:r>
      <w:r/>
    </w:p>
    <w:p>
      <w:pPr/>
      <w:r>
        <w:t>To avoid creating an implied promise of verification, the terms should state that the service does not guarantee that uploaded prompts are authorized and does not provide legal advice on whether a given prompt is permissible to upload. It should also state that the user remains responsible for compliance with any agreements governing exam content they possess.</w:t>
      </w:r>
      <w:r/>
    </w:p>
    <w:p>
      <w:pPr>
        <w:pStyle w:val="Heading3"/>
      </w:pPr>
      <w:r>
        <w:t>Consent to third-party processing and provider-specific disclosures</w:t>
      </w:r>
      <w:r/>
    </w:p>
    <w:p>
      <w:pPr/>
      <w:r>
        <w:t>If the browser calls the provider directly, the terms should still disclose that the user’s prompt will be transmitted to the AI provider for processing and that the provider’s terms and privacy practices may apply. If you offer “bring your own key” mode, the terms should explain that in that mode the user is contracting directly with the provider for inference and is responsible for their provider account settings.</w:t>
      </w:r>
      <w:r/>
    </w:p>
    <w:p>
      <w:pPr/>
      <w:r>
        <w:t>If you offer confidential-compute mode, the terms should carefully describe what that mode does and does not guarantee. It can credibly claim that processing occurs within a confidential execution boundary designed to limit access by the provider’s general systems and personnel, but it should not promise absolute non-copying or absolute unreadability.</w:t>
      </w:r>
      <w:r/>
    </w:p>
    <w:p>
      <w:pPr>
        <w:pStyle w:val="Heading3"/>
      </w:pPr>
      <w:r>
        <w:t>Retention, deletion, and scope-of-use commitments</w:t>
      </w:r>
      <w:r/>
    </w:p>
    <w:p>
      <w:pPr/>
      <w:r>
        <w:t>Your terms should state your prompt retention stance in a way that matches the architecture. If the prompt never reaches your server, the terms can state that your systems do not receive or retain the prompt, subject to limited operational metadata. If the prompt does touch your server in any mode, the terms should state the retention window and explicitly disclaim that transient processing may involve memory copies that are not user-accessible and are deleted as part of normal operation.</w:t>
      </w:r>
      <w:r/>
    </w:p>
    <w:p>
      <w:pPr/>
      <w:r>
        <w:t>Where you store derived artifacts, the terms should narrowly define what you store and why. If you redesign to avoid storing prompt-specific packets, the terms should reflect that you store only scoring outputs and generic rubric dimensions.</w:t>
      </w:r>
      <w:r/>
    </w:p>
    <w:p>
      <w:pPr>
        <w:pStyle w:val="Heading3"/>
      </w:pPr>
      <w:r>
        <w:t>Repeat infringer policy and rights enforcement workflow</w:t>
      </w:r>
      <w:r/>
    </w:p>
    <w:p>
      <w:pPr/>
      <w:r>
        <w:t>Even if you do not view BYOP as a content-hosting product, it is prudent to implement a repeat-infringer policy and communicate it, because that is a statutory condition for certain limitations on liability frameworks and because it provides operational leverage to address abuse. The terms should authorize account suspension or termination for repeated submission of infringing content or repeated attempts to circumvent detection.</w:t>
      </w:r>
      <w:r/>
    </w:p>
    <w:p>
      <w:pPr/>
      <w:r>
        <w:t>The terms should also include a rights-complaint process that allows rightsholders to report allegedly infringing outputs or stored artifacts and allows you to remove or disable access where appropriate. This process should be linked to your actual product behavior, including removal of stored packets, revocation of session access, or disabling BYOP for specific accounts.</w:t>
      </w:r>
      <w:r/>
    </w:p>
    <w:p>
      <w:pPr>
        <w:pStyle w:val="Heading2"/>
      </w:pPr>
      <w:r>
        <w:t>Provider confidentiality requirements: contractual requirements you should seek from the AI vendor</w:t>
      </w:r>
      <w:r/>
    </w:p>
    <w:p>
      <w:pPr/>
      <w:r>
        <w:t>Your vendor posture should be written into procurement requirements. If you cannot obtain these commitments, you should treat the BYOP mode as higher-risk and either route users to bring-your-own-key mode or disable BYOP for suspected restricted prompts.</w:t>
      </w:r>
      <w:r/>
    </w:p>
    <w:p>
      <w:pPr/>
      <w:r>
        <w:t>A strong baseline requirement is that prompts and outputs are not used for training or model improvement and are not retained beyond a short operational window except as required for abuse prevention and security. A second baseline requirement is that human access to prompts is prohibited except under narrow, documented exceptions. A third requirement is that the provider’s logs, monitoring, and debugging tools do not store prompt text by default, and that any retained artifacts are access-controlled and time-limited.</w:t>
      </w:r>
      <w:r/>
    </w:p>
    <w:p>
      <w:pPr/>
      <w:r>
        <w:t>If confidential-compute mode is offered, the provider contract should cover attestation, enclave boundary promises, measurement change management, breach notification tied to the enclave boundary, and explicit restrictions on extracting plaintext from the enclave except as required to produce the output to the user.</w:t>
      </w:r>
      <w:r/>
    </w:p>
    <w:p>
      <w:pPr>
        <w:pStyle w:val="Heading2"/>
      </w:pPr>
      <w:r>
        <w:t>Product specifications: acceptance criteria for engineering</w:t>
      </w:r>
      <w:r/>
    </w:p>
    <w:p>
      <w:pPr/>
      <w:r>
        <w:t>To make the above enforceable, the product should have testable specs. The acceptance criteria should be written so that compliance can be validated through instrumentation and audits without capturing prompt text.</w:t>
      </w:r>
      <w:r/>
    </w:p>
    <w:p>
      <w:pPr/>
      <w:r>
        <w:t>A practical spec is that prompt text must never appear in server logs, analytics, error monitoring events, customer support tooling, or database fields. Another spec is that any stored derived artifact must be validated to contain no verbatim or near-verbatim prompt text. Another spec is that BYOP should have at least one mode in which your backend does not receive prompt text at all, and that this mode should be the default for users who choose BYOP unless they opt into a fallback.</w:t>
      </w:r>
      <w:r/>
    </w:p>
    <w:p>
      <w:pPr/>
      <w:r>
        <w:t>The key spec for credentialing is that any browser-issued provider credential expires quickly, is scoped to only the BYOP endpoints, is limited by token budget and model, and is not usable for other actions. The key spec for output minimization is that the system should not store prompt-specific packets in the high-risk mode and should store only scoring outputs and generic rubric dimensions.</w:t>
      </w:r>
      <w:r/>
    </w:p>
    <w:p>
      <w:pPr>
        <w:pStyle w:val="Heading2"/>
      </w:pPr>
      <w:r>
        <w:t>Implementation roadmap and decision points</w:t>
      </w:r>
      <w:r/>
    </w:p>
    <w:p>
      <w:pPr/>
      <w:r>
        <w:t>A low-risk roadmap starts with the browser-direct inference credentialing mode and with output minimization that stops storing prompt-specific packets. These changes reduce your internal copying footprint and reduce the derivative-product narrative. The second phase adds anti-regurgitation enforcement and audit, making the “no prompt text in stored artifacts” claim provable. The third phase adds optional bring-your-own-key mode and, where available, confidential-compute inference as a premium compliance mode.</w:t>
      </w:r>
      <w:r/>
    </w:p>
    <w:p>
      <w:pPr/>
      <w:r>
        <w:t>The main decision point is whether you want to permit NCBE prompt uploads at all. If the answer is yes, architecture and terms can reduce but not eliminate risk. If the answer is no, the system should include detection and enforcement that makes that prohibition real, and the architecture should default to not generating or storing prompt-specific derivatives when restricted material is suspected.</w:t>
      </w:r>
      <w:r/>
    </w:p>
    <w:p>
      <w:pPr>
        <w:pStyle w:val="Heading2"/>
      </w:pPr>
      <w:r>
        <w:t>Conclusion</w:t>
      </w:r>
      <w:r/>
    </w:p>
    <w:p>
      <w:pPr/>
      <w:r>
        <w:t>There is no hashing or encryption technique that allows a conventional hosted LLM provider to generate a prompt-based packet without the prompt being plaintext somewhere inside the provider’s inference boundary. The actionable path to materially reduce NCBE risk is therefore to change the trust boundary and the product’s stored artifacts, not to rely on cryptography alone. Browser-direct inference with short-lived, single-purpose credentials removes your servers from prompt handling, while vendor confidentiality commitments and, where possible, confidential-compute inference reduce provider-side access risk. Separately, redesigning BYOP so it does not store prompt-specific packets and enforcing anti-regurgitation controls reduces derivative-work and market-substitution narratives. Finally, aligning user terms with real enforcement, including restricted content policies and repeat-infringer consequences, makes the posture credible in practice rather than aspirational.</w:t>
      </w:r>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40" w:lineRule="auto"/>
      <w:jc w:val="left"/>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360" w:lineRule="auto"/>
      <w:outlineLvl w:val="0"/>
    </w:pPr>
    <w:rPr>
      <w:rFonts w:ascii="Times New Roman" w:hAnsi="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rFonts w:ascii="Times New Roman" w:hAnsi="Times New Roman"/>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rFonts w:ascii="Times New Roman" w:hAnsi="Times New Roman"/>
      <w:b/>
      <w:bCs/>
      <w:color w:val="000000"/>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rFonts w:ascii="Times New Roman" w:hAnsi="Times New Roman"/>
      <w:b/>
      <w:bCs/>
      <w:i/>
      <w:iCs/>
      <w:color w:val="000000"/>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rPr>
      <w:rFonts w:ascii="Times New Roman" w:hAnsi="Times New Roman"/>
      <w:color w:val="000000"/>
    </w:r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rFonts w:ascii="Times New Roman" w:hAnsi="Times New Roman"/>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rFonts w:ascii="Times New Roman" w:hAnsi="Times New Roman"/>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rFonts w:ascii="Times New Roman" w:hAnsi="Times New Roman"/>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rFonts w:ascii="Times New Roman" w:hAnsi="Times New Roman"/>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rFonts w:ascii="Times New Roman" w:hAnsi="Times New Roman"/>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rFonts w:ascii="Times New Roman" w:hAnsi="Times New Roman"/>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rPr>
  </w:style>
  <w:style w:type="paragraph" w:styleId="BodyText">
    <w:name w:val="Body Text"/>
    <w:basedOn w:val="Normal"/>
    <w:link w:val="BodyTextChar"/>
    <w:uiPriority w:val="99"/>
    <w:unhideWhenUsed/>
    <w:rsid w:val="00AA1D8D"/>
    <w:pPr>
      <w:spacing w:after="120" w:line="240" w:lineRule="auto"/>
      <w:jc w:val="left"/>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240" w:lineRule="auto"/>
      <w:jc w:val="left"/>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40" w:lineRule="auto"/>
      <w:jc w:val="left"/>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rPr>
  </w:style>
  <w:style w:type="paragraph" w:styleId="List2">
    <w:name w:val="List 2"/>
    <w:basedOn w:val="Normal"/>
    <w:uiPriority w:val="99"/>
    <w:unhideWhenUsed/>
    <w:rsid w:val="00326F90"/>
    <w:pPr>
      <w:ind w:left="720" w:hanging="360"/>
      <w:contextualSpacing/>
    </w:pPr>
    <w:rPr>
      <w:rFonts w:ascii="Times New Roman" w:hAnsi="Times New Roman"/>
      <w:color w:val="000000"/>
    </w:rPr>
  </w:style>
  <w:style w:type="paragraph" w:styleId="List3">
    <w:name w:val="List 3"/>
    <w:basedOn w:val="Normal"/>
    <w:uiPriority w:val="99"/>
    <w:unhideWhenUsed/>
    <w:rsid w:val="00326F90"/>
    <w:pPr>
      <w:ind w:left="1080" w:hanging="360"/>
      <w:contextualSpacing/>
    </w:pPr>
    <w:rPr>
      <w:rFonts w:ascii="Times New Roman" w:hAnsi="Times New Roman"/>
      <w:color w:val="000000"/>
    </w:rPr>
  </w:style>
  <w:style w:type="paragraph" w:styleId="ListBullet">
    <w:name w:val="List Bullet"/>
    <w:basedOn w:val="Normal"/>
    <w:uiPriority w:val="99"/>
    <w:unhideWhenUsed/>
    <w:rsid w:val="00326F90"/>
    <w:pPr>
      <w:numPr>
        <w:numId w:val="1"/>
      </w:numPr>
      <w:contextualSpacing/>
    </w:pPr>
    <w:rPr>
      <w:rFonts w:ascii="Times New Roman" w:hAnsi="Times New Roman"/>
      <w:color w:val="000000"/>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rPr>
  </w:style>
  <w:style w:type="paragraph" w:styleId="ListNumber">
    <w:name w:val="List Number"/>
    <w:basedOn w:val="Normal"/>
    <w:uiPriority w:val="99"/>
    <w:unhideWhenUsed/>
    <w:rsid w:val="00326F90"/>
    <w:pPr>
      <w:numPr>
        <w:numId w:val="5"/>
      </w:numPr>
      <w:contextualSpacing/>
    </w:pPr>
    <w:rPr>
      <w:rFonts w:ascii="Times New Roman" w:hAnsi="Times New Roman"/>
      <w:color w:val="000000"/>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rFonts w:ascii="Times New Roman" w:hAnsi="Times New Roman"/>
      <w:i/>
      <w:iCs/>
      <w:color w:val="000000"/>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Times New Roman" w:hAnsi="Times New Roman"/>
      <w:b/>
      <w:bCs/>
      <w:i/>
      <w:iCs/>
      <w:color w:val="000000"/>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sallen58@fordham.edu</dc:creator>
  <cp:keywords/>
  <dc:description/>
  <cp:lastModifiedBy/>
  <cp:revision>1</cp:revision>
  <dcterms:created xsi:type="dcterms:W3CDTF">2013-12-23T23:15:00Z</dcterms:created>
  <dcterms:modified xsi:type="dcterms:W3CDTF">2013-12-23T23:15:00Z</dcterms:modified>
  <cp:category/>
</cp:coreProperties>
</file>